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margin;mso-height-relative:margin;"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应急指挥通信设备采购</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SZZZ2023-QC0487</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二〇二三年</w:t>
      </w:r>
      <w:r>
        <w:rPr>
          <w:rFonts w:hint="eastAsia"/>
          <w:b/>
          <w:snapToGrid w:val="0"/>
          <w:sz w:val="30"/>
          <w:lang w:val="en-US" w:eastAsia="zh-CN"/>
        </w:rPr>
        <w:t>十一</w:t>
      </w:r>
      <w:r>
        <w:rPr>
          <w:rFonts w:hint="eastAsia"/>
          <w:b/>
          <w:snapToGrid w:val="0"/>
          <w:sz w:val="30"/>
        </w:rPr>
        <w:t>月</w:t>
      </w:r>
    </w:p>
    <w:p/>
    <w:p/>
    <w:p/>
    <w:p/>
    <w:p>
      <w:pPr>
        <w:jc w:val="center"/>
        <w:rPr>
          <w:rFonts w:asciiTheme="minorEastAsia" w:hAnsiTheme="minorEastAsia" w:eastAsiaTheme="minorEastAsia"/>
          <w:b/>
          <w:bCs/>
          <w:szCs w:val="21"/>
        </w:rPr>
      </w:pPr>
    </w:p>
    <w:p>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hint="eastAsia"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hint="eastAsia"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hint="eastAsia" w:ascii="仿宋" w:hAnsi="仿宋" w:eastAsia="仿宋"/>
          <w:sz w:val="24"/>
        </w:rPr>
      </w:pPr>
    </w:p>
    <w:p>
      <w:pPr>
        <w:spacing w:line="440" w:lineRule="exact"/>
        <w:ind w:firstLine="424" w:firstLineChars="177"/>
        <w:rPr>
          <w:rFonts w:ascii="仿宋_GB2312" w:eastAsia="仿宋_GB2312" w:hAnsiTheme="minorEastAsia"/>
          <w:b/>
          <w:color w:val="FF0000"/>
          <w:sz w:val="24"/>
        </w:rPr>
      </w:pPr>
      <w:r>
        <w:rPr>
          <w:rFonts w:hint="eastAsia" w:ascii="仿宋" w:hAnsi="仿宋" w:eastAsia="仿宋"/>
          <w:sz w:val="24"/>
        </w:rPr>
        <w:cr/>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p>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
      <w:pPr>
        <w:pStyle w:val="2"/>
      </w:pPr>
      <w:bookmarkStart w:id="0" w:name="_Toc135293320"/>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应急指挥通信设备采购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SZZZ2023-QC0487</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应急指挥通信设备采购</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58.77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58.77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snapToGrid w:val="0"/>
          <w:szCs w:val="21"/>
        </w:rPr>
      </w:pPr>
      <w:r>
        <w:rPr>
          <w:rFonts w:hint="eastAsia" w:ascii="宋体" w:hAnsi="宋体"/>
          <w:snapToGrid w:val="0"/>
          <w:szCs w:val="21"/>
        </w:rPr>
        <w:t>3、方式：</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snapToGrid w:val="0"/>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深圳市应急管理局</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地址：深圳市福田区福中三路市民中心C区5楼</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2023年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29</w:t>
      </w:r>
      <w:r>
        <w:rPr>
          <w:rFonts w:hint="eastAsia" w:ascii="宋体" w:hAnsi="宋体"/>
          <w:snapToGrid w:val="0"/>
          <w:kern w:val="0"/>
          <w:sz w:val="24"/>
        </w:rPr>
        <w:t>日</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2" w:firstLineChars="200"/>
        <w:jc w:val="right"/>
        <w:rPr>
          <w:rFonts w:eastAsiaTheme="minorEastAsia"/>
          <w:b/>
          <w:kern w:val="44"/>
          <w:szCs w:val="21"/>
        </w:rPr>
      </w:pPr>
    </w:p>
    <w:p>
      <w:pPr>
        <w:rPr>
          <w:szCs w:val="21"/>
        </w:rPr>
      </w:pPr>
    </w:p>
    <w:p>
      <w:pPr>
        <w:pStyle w:val="2"/>
      </w:pPr>
      <w:bookmarkStart w:id="1" w:name="_Toc135293321"/>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应急指挥通信设备采购</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pPr>
              <w:jc w:val="center"/>
              <w:rPr>
                <w:rFonts w:hint="default" w:ascii="宋体" w:hAnsi="宋体" w:eastAsia="宋体" w:cs="宋体"/>
                <w:bCs/>
                <w:kern w:val="0"/>
                <w:szCs w:val="21"/>
                <w:lang w:val="en-US" w:eastAsia="zh-CN"/>
              </w:rPr>
            </w:pPr>
            <w:r>
              <w:rPr>
                <w:rFonts w:ascii="宋体" w:hAnsi="宋体" w:cs="宋体"/>
                <w:bCs/>
                <w:kern w:val="0"/>
                <w:szCs w:val="21"/>
              </w:rPr>
              <w:t>587</w:t>
            </w:r>
            <w:r>
              <w:rPr>
                <w:rFonts w:hint="eastAsia" w:ascii="宋体" w:hAnsi="宋体" w:cs="宋体"/>
                <w:bCs/>
                <w:kern w:val="0"/>
                <w:szCs w:val="21"/>
                <w:lang w:val="en-US" w:eastAsia="zh-CN"/>
              </w:rPr>
              <w:t>,</w:t>
            </w:r>
            <w:r>
              <w:rPr>
                <w:rFonts w:ascii="宋体" w:hAnsi="宋体" w:cs="宋体"/>
                <w:bCs/>
                <w:kern w:val="0"/>
                <w:szCs w:val="21"/>
              </w:rPr>
              <w:t>7</w:t>
            </w:r>
            <w:r>
              <w:rPr>
                <w:rFonts w:hint="eastAsia" w:ascii="宋体" w:hAnsi="宋体" w:cs="宋体"/>
                <w:bCs/>
                <w:kern w:val="0"/>
                <w:szCs w:val="21"/>
                <w:lang w:val="en-US" w:eastAsia="zh-CN"/>
              </w:rPr>
              <w:t>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r>
        <w:rPr>
          <w:rFonts w:hint="eastAsia" w:ascii="宋体" w:hAnsi="宋体"/>
          <w:b/>
          <w:szCs w:val="21"/>
        </w:rPr>
        <w:t>（二）货物清单明细</w:t>
      </w:r>
    </w:p>
    <w:tbl>
      <w:tblPr>
        <w:tblStyle w:val="50"/>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338"/>
        <w:gridCol w:w="142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338"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1425"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442"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pPr>
              <w:tabs>
                <w:tab w:val="left" w:pos="312"/>
              </w:tabs>
              <w:spacing w:line="440" w:lineRule="exact"/>
              <w:jc w:val="center"/>
              <w:rPr>
                <w:rFonts w:ascii="宋体" w:hAnsi="宋体" w:cs="宋体"/>
                <w:kern w:val="0"/>
                <w:szCs w:val="21"/>
              </w:rPr>
            </w:pPr>
            <w:r>
              <w:rPr>
                <w:rFonts w:hint="eastAsia" w:ascii="宋体" w:hAnsi="宋体" w:cs="宋体"/>
                <w:color w:val="000000"/>
                <w:kern w:val="0"/>
                <w:szCs w:val="21"/>
              </w:rPr>
              <w:t>背负式宽带自组网</w:t>
            </w:r>
          </w:p>
        </w:tc>
        <w:tc>
          <w:tcPr>
            <w:tcW w:w="1338" w:type="dxa"/>
            <w:vAlign w:val="top"/>
          </w:tcPr>
          <w:p>
            <w:pPr>
              <w:tabs>
                <w:tab w:val="left" w:pos="312"/>
              </w:tabs>
              <w:spacing w:line="440" w:lineRule="exact"/>
              <w:jc w:val="center"/>
              <w:rPr>
                <w:rFonts w:ascii="宋体" w:hAnsi="宋体" w:cs="宋体"/>
                <w:kern w:val="0"/>
                <w:szCs w:val="21"/>
              </w:rPr>
            </w:pPr>
            <w:r>
              <w:rPr>
                <w:rFonts w:ascii="宋体" w:hAnsi="宋体"/>
                <w:szCs w:val="21"/>
              </w:rPr>
              <w:t>3</w:t>
            </w:r>
          </w:p>
        </w:tc>
        <w:tc>
          <w:tcPr>
            <w:tcW w:w="1425" w:type="dxa"/>
            <w:vAlign w:val="top"/>
          </w:tcPr>
          <w:p>
            <w:pPr>
              <w:tabs>
                <w:tab w:val="left" w:pos="312"/>
              </w:tabs>
              <w:spacing w:line="440" w:lineRule="exact"/>
              <w:jc w:val="center"/>
              <w:rPr>
                <w:rFonts w:ascii="宋体" w:hAnsi="宋体" w:cs="宋体"/>
                <w:kern w:val="0"/>
                <w:szCs w:val="21"/>
              </w:rPr>
            </w:pPr>
            <w:r>
              <w:rPr>
                <w:rFonts w:hint="eastAsia" w:ascii="宋体" w:hAnsi="宋体"/>
                <w:szCs w:val="21"/>
              </w:rPr>
              <w:t>套</w:t>
            </w:r>
          </w:p>
        </w:tc>
        <w:tc>
          <w:tcPr>
            <w:tcW w:w="1442" w:type="dxa"/>
            <w:vAlign w:val="center"/>
          </w:tcPr>
          <w:p>
            <w:pPr>
              <w:spacing w:line="360" w:lineRule="auto"/>
              <w:jc w:val="center"/>
              <w:rPr>
                <w:rFonts w:ascii="宋体" w:hAnsi="宋体" w:cs="宋体"/>
                <w:kern w:val="0"/>
                <w:szCs w:val="21"/>
              </w:rPr>
            </w:pPr>
            <w:r>
              <w:rPr>
                <w:rFonts w:hint="eastAsia" w:ascii="宋体" w:hAnsi="宋体" w:cs="宋体"/>
                <w:kern w:val="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3969" w:type="dxa"/>
            <w:vAlign w:val="center"/>
          </w:tcPr>
          <w:p>
            <w:pPr>
              <w:tabs>
                <w:tab w:val="left" w:pos="312"/>
              </w:tabs>
              <w:spacing w:line="440" w:lineRule="exact"/>
              <w:jc w:val="center"/>
              <w:rPr>
                <w:rFonts w:ascii="宋体" w:hAnsi="宋体" w:cs="宋体"/>
                <w:kern w:val="0"/>
                <w:szCs w:val="21"/>
              </w:rPr>
            </w:pPr>
            <w:r>
              <w:rPr>
                <w:rFonts w:hint="eastAsia" w:ascii="宋体" w:hAnsi="宋体" w:cs="宋体"/>
                <w:color w:val="000000"/>
                <w:kern w:val="0"/>
                <w:szCs w:val="21"/>
              </w:rPr>
              <w:t>手持式宽带自组网</w:t>
            </w:r>
          </w:p>
        </w:tc>
        <w:tc>
          <w:tcPr>
            <w:tcW w:w="1338" w:type="dxa"/>
            <w:vAlign w:val="top"/>
          </w:tcPr>
          <w:p>
            <w:pPr>
              <w:tabs>
                <w:tab w:val="left" w:pos="312"/>
              </w:tabs>
              <w:spacing w:line="440" w:lineRule="exact"/>
              <w:jc w:val="center"/>
              <w:rPr>
                <w:rFonts w:ascii="宋体" w:hAnsi="宋体" w:cs="宋体"/>
                <w:kern w:val="0"/>
                <w:szCs w:val="21"/>
              </w:rPr>
            </w:pPr>
            <w:r>
              <w:rPr>
                <w:rFonts w:ascii="宋体" w:hAnsi="宋体"/>
                <w:szCs w:val="21"/>
              </w:rPr>
              <w:t>2</w:t>
            </w:r>
          </w:p>
        </w:tc>
        <w:tc>
          <w:tcPr>
            <w:tcW w:w="1425" w:type="dxa"/>
            <w:vAlign w:val="top"/>
          </w:tcPr>
          <w:p>
            <w:pPr>
              <w:tabs>
                <w:tab w:val="left" w:pos="312"/>
              </w:tabs>
              <w:spacing w:line="440" w:lineRule="exact"/>
              <w:jc w:val="center"/>
              <w:rPr>
                <w:rFonts w:ascii="宋体" w:hAnsi="宋体" w:cs="宋体"/>
                <w:kern w:val="0"/>
                <w:szCs w:val="21"/>
              </w:rPr>
            </w:pPr>
            <w:r>
              <w:rPr>
                <w:rFonts w:hint="eastAsia" w:ascii="宋体" w:hAnsi="宋体"/>
                <w:szCs w:val="21"/>
              </w:rPr>
              <w:t>套</w:t>
            </w:r>
          </w:p>
        </w:tc>
        <w:tc>
          <w:tcPr>
            <w:tcW w:w="1442" w:type="dxa"/>
            <w:vAlign w:val="center"/>
          </w:tcPr>
          <w:p>
            <w:pPr>
              <w:spacing w:line="360" w:lineRule="auto"/>
              <w:jc w:val="center"/>
              <w:rPr>
                <w:rFonts w:ascii="宋体" w:hAnsi="宋体" w:cs="宋体"/>
                <w:kern w:val="0"/>
                <w:szCs w:val="21"/>
              </w:rPr>
            </w:pPr>
            <w:r>
              <w:rPr>
                <w:rFonts w:hint="eastAsia" w:ascii="宋体" w:hAnsi="宋体" w:cs="宋体"/>
                <w:kern w:val="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3969" w:type="dxa"/>
            <w:vAlign w:val="center"/>
          </w:tcPr>
          <w:p>
            <w:pPr>
              <w:tabs>
                <w:tab w:val="left" w:pos="312"/>
              </w:tabs>
              <w:spacing w:line="440" w:lineRule="exact"/>
              <w:jc w:val="center"/>
              <w:rPr>
                <w:rFonts w:ascii="宋体" w:hAnsi="宋体" w:cs="宋体"/>
                <w:kern w:val="0"/>
                <w:szCs w:val="21"/>
              </w:rPr>
            </w:pPr>
            <w:r>
              <w:rPr>
                <w:rFonts w:hint="eastAsia" w:ascii="宋体" w:hAnsi="宋体" w:cs="宋体"/>
                <w:color w:val="000000"/>
                <w:kern w:val="0"/>
                <w:szCs w:val="21"/>
              </w:rPr>
              <w:t>数字信号覆盖设备</w:t>
            </w:r>
          </w:p>
        </w:tc>
        <w:tc>
          <w:tcPr>
            <w:tcW w:w="1338" w:type="dxa"/>
            <w:vAlign w:val="top"/>
          </w:tcPr>
          <w:p>
            <w:pPr>
              <w:tabs>
                <w:tab w:val="left" w:pos="312"/>
              </w:tabs>
              <w:spacing w:line="440" w:lineRule="exact"/>
              <w:jc w:val="center"/>
              <w:rPr>
                <w:rFonts w:ascii="宋体" w:hAnsi="宋体" w:cs="宋体"/>
                <w:kern w:val="0"/>
                <w:szCs w:val="21"/>
              </w:rPr>
            </w:pPr>
            <w:r>
              <w:rPr>
                <w:rFonts w:hint="eastAsia" w:ascii="宋体" w:hAnsi="宋体"/>
                <w:szCs w:val="21"/>
              </w:rPr>
              <w:t>1</w:t>
            </w:r>
          </w:p>
        </w:tc>
        <w:tc>
          <w:tcPr>
            <w:tcW w:w="1425" w:type="dxa"/>
            <w:vAlign w:val="top"/>
          </w:tcPr>
          <w:p>
            <w:pPr>
              <w:tabs>
                <w:tab w:val="left" w:pos="312"/>
              </w:tabs>
              <w:spacing w:line="440" w:lineRule="exact"/>
              <w:jc w:val="center"/>
              <w:rPr>
                <w:rFonts w:ascii="宋体" w:hAnsi="宋体" w:cs="宋体"/>
                <w:kern w:val="0"/>
                <w:szCs w:val="21"/>
              </w:rPr>
            </w:pPr>
            <w:r>
              <w:rPr>
                <w:rFonts w:hint="eastAsia" w:ascii="宋体" w:hAnsi="宋体"/>
                <w:szCs w:val="21"/>
              </w:rPr>
              <w:t>套</w:t>
            </w:r>
          </w:p>
        </w:tc>
        <w:tc>
          <w:tcPr>
            <w:tcW w:w="1442" w:type="dxa"/>
            <w:vAlign w:val="center"/>
          </w:tcPr>
          <w:p>
            <w:pPr>
              <w:spacing w:line="360" w:lineRule="auto"/>
              <w:jc w:val="center"/>
              <w:rPr>
                <w:rFonts w:ascii="宋体" w:hAnsi="宋体" w:cs="宋体"/>
                <w:kern w:val="0"/>
                <w:szCs w:val="21"/>
              </w:rPr>
            </w:pPr>
            <w:r>
              <w:rPr>
                <w:rFonts w:hint="eastAsia" w:ascii="宋体" w:hAnsi="宋体" w:cs="宋体"/>
                <w:kern w:val="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3969" w:type="dxa"/>
            <w:vAlign w:val="center"/>
          </w:tcPr>
          <w:p>
            <w:pPr>
              <w:tabs>
                <w:tab w:val="left" w:pos="312"/>
              </w:tabs>
              <w:spacing w:line="440" w:lineRule="exact"/>
              <w:jc w:val="center"/>
              <w:rPr>
                <w:rFonts w:ascii="宋体" w:hAnsi="宋体" w:cs="宋体"/>
                <w:kern w:val="0"/>
                <w:szCs w:val="21"/>
              </w:rPr>
            </w:pPr>
            <w:r>
              <w:rPr>
                <w:rFonts w:hint="eastAsia" w:ascii="宋体" w:hAnsi="宋体" w:cs="宋体"/>
                <w:color w:val="000000"/>
                <w:kern w:val="0"/>
                <w:szCs w:val="21"/>
              </w:rPr>
              <w:t>野战光缆</w:t>
            </w:r>
          </w:p>
        </w:tc>
        <w:tc>
          <w:tcPr>
            <w:tcW w:w="1338" w:type="dxa"/>
            <w:vAlign w:val="top"/>
          </w:tcPr>
          <w:p>
            <w:pPr>
              <w:tabs>
                <w:tab w:val="left" w:pos="312"/>
              </w:tabs>
              <w:spacing w:line="440" w:lineRule="exact"/>
              <w:jc w:val="center"/>
              <w:rPr>
                <w:rFonts w:ascii="宋体" w:hAnsi="宋体" w:cs="宋体"/>
                <w:kern w:val="0"/>
                <w:szCs w:val="21"/>
              </w:rPr>
            </w:pPr>
            <w:r>
              <w:rPr>
                <w:rFonts w:hint="eastAsia" w:ascii="宋体" w:hAnsi="宋体"/>
                <w:szCs w:val="21"/>
              </w:rPr>
              <w:t>3</w:t>
            </w:r>
          </w:p>
        </w:tc>
        <w:tc>
          <w:tcPr>
            <w:tcW w:w="1425" w:type="dxa"/>
            <w:vAlign w:val="top"/>
          </w:tcPr>
          <w:p>
            <w:pPr>
              <w:tabs>
                <w:tab w:val="left" w:pos="312"/>
              </w:tabs>
              <w:spacing w:line="440" w:lineRule="exact"/>
              <w:jc w:val="center"/>
              <w:rPr>
                <w:rFonts w:ascii="宋体" w:hAnsi="宋体" w:cs="宋体"/>
                <w:kern w:val="0"/>
                <w:szCs w:val="21"/>
              </w:rPr>
            </w:pPr>
            <w:r>
              <w:rPr>
                <w:rFonts w:hint="eastAsia" w:ascii="宋体" w:hAnsi="宋体"/>
                <w:szCs w:val="21"/>
              </w:rPr>
              <w:t>套</w:t>
            </w:r>
          </w:p>
        </w:tc>
        <w:tc>
          <w:tcPr>
            <w:tcW w:w="1442" w:type="dxa"/>
            <w:vAlign w:val="center"/>
          </w:tcPr>
          <w:p>
            <w:pPr>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数字信号覆盖设备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pPr>
              <w:spacing w:after="60" w:line="360" w:lineRule="auto"/>
              <w:jc w:val="center"/>
              <w:rPr>
                <w:rFonts w:asciiTheme="minorEastAsia" w:hAnsiTheme="minorEastAsia" w:eastAsiaTheme="minorEastAsia"/>
                <w:szCs w:val="21"/>
              </w:rPr>
            </w:pPr>
            <w:bookmarkStart w:id="113" w:name="_GoBack"/>
            <w:r>
              <w:rPr>
                <w:rFonts w:hint="eastAsia" w:asciiTheme="minorEastAsia" w:hAnsiTheme="minorEastAsia" w:eastAsiaTheme="minorEastAsia"/>
                <w:szCs w:val="21"/>
              </w:rPr>
              <w:t>序号</w:t>
            </w:r>
          </w:p>
        </w:tc>
        <w:tc>
          <w:tcPr>
            <w:tcW w:w="1980" w:type="dxa"/>
            <w:vAlign w:val="center"/>
          </w:tcPr>
          <w:p>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0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Align w:val="center"/>
          </w:tcPr>
          <w:p>
            <w:pPr>
              <w:spacing w:after="60" w:line="360" w:lineRule="auto"/>
              <w:jc w:val="center"/>
              <w:rPr>
                <w:rFonts w:asciiTheme="minorEastAsia" w:hAnsiTheme="minorEastAsia" w:eastAsiaTheme="minorEastAsia"/>
                <w:b w:val="0"/>
                <w:bCs/>
                <w:szCs w:val="21"/>
              </w:rPr>
            </w:pPr>
            <w:r>
              <w:rPr>
                <w:rFonts w:hint="eastAsia" w:asciiTheme="minorEastAsia" w:hAnsiTheme="minorEastAsia" w:eastAsiaTheme="minorEastAsia"/>
                <w:b w:val="0"/>
                <w:bCs/>
                <w:szCs w:val="21"/>
              </w:rPr>
              <w:t>背负式宽带自组网</w:t>
            </w:r>
          </w:p>
        </w:tc>
        <w:tc>
          <w:tcPr>
            <w:tcW w:w="6737" w:type="dxa"/>
          </w:tcPr>
          <w:p>
            <w:pPr>
              <w:spacing w:after="60"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1.1</w:t>
            </w:r>
            <w:r>
              <w:rPr>
                <w:rFonts w:hint="eastAsia" w:asciiTheme="minorEastAsia" w:hAnsiTheme="minorEastAsia" w:eastAsiaTheme="minorEastAsia"/>
                <w:b w:val="0"/>
                <w:bCs w:val="0"/>
                <w:szCs w:val="21"/>
              </w:rPr>
              <w:t>组网：支持多套设备无中心同频组网，支持点对点、点对多点、链状中继、星状、网状、混合等任意网络拓扑结构自适应动态调整，支持多跳接力及中继转发</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提供宽带自组网系统软件著作权证书</w:t>
            </w:r>
            <w:r>
              <w:rPr>
                <w:rFonts w:hint="eastAsia" w:asciiTheme="minorEastAsia" w:hAnsiTheme="minorEastAsia" w:eastAsiaTheme="minorEastAsia"/>
                <w:b w:val="0"/>
                <w:bCs w:val="0"/>
                <w:szCs w:val="21"/>
                <w:lang w:val="en-US" w:eastAsia="zh-CN"/>
              </w:rPr>
              <w:t>和</w:t>
            </w:r>
            <w:r>
              <w:rPr>
                <w:rFonts w:hint="eastAsia" w:asciiTheme="minorEastAsia" w:hAnsiTheme="minorEastAsia" w:eastAsiaTheme="minorEastAsia"/>
                <w:b w:val="0"/>
                <w:bCs w:val="0"/>
                <w:szCs w:val="21"/>
              </w:rPr>
              <w:t>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1.2</w:t>
            </w:r>
            <w:r>
              <w:rPr>
                <w:rFonts w:hint="eastAsia" w:asciiTheme="minorEastAsia" w:hAnsiTheme="minorEastAsia" w:eastAsiaTheme="minorEastAsia"/>
                <w:b w:val="0"/>
                <w:bCs w:val="0"/>
                <w:szCs w:val="21"/>
              </w:rPr>
              <w:t>频段：支持486-546MHz/566-626MHz，其他频段可定制</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1.3</w:t>
            </w:r>
            <w:r>
              <w:rPr>
                <w:rFonts w:hint="eastAsia" w:asciiTheme="minorEastAsia" w:hAnsiTheme="minorEastAsia" w:eastAsiaTheme="minorEastAsia"/>
                <w:b w:val="0"/>
                <w:bCs w:val="0"/>
                <w:szCs w:val="21"/>
              </w:rPr>
              <w:t>工作带宽：支持5M/10MHz/20MHz等自由配置</w:t>
            </w:r>
            <w:r>
              <w:rPr>
                <w:rFonts w:hint="eastAsia" w:asciiTheme="minorEastAsia" w:hAnsiTheme="minorEastAsia" w:eastAsiaTheme="minorEastAsia"/>
                <w:b w:val="0"/>
                <w:bCs w:val="0"/>
                <w:szCs w:val="21"/>
                <w:lang w:eastAsia="zh-CN"/>
              </w:rPr>
              <w:t>。</w:t>
            </w:r>
          </w:p>
          <w:p>
            <w:pPr>
              <w:spacing w:after="60" w:line="360" w:lineRule="auto"/>
              <w:rPr>
                <w:rFonts w:hint="eastAsia" w:eastAsia="宋体" w:asciiTheme="minorEastAsia" w:hAnsiTheme="minorEastAsia"/>
                <w:b w:val="0"/>
                <w:bCs w:val="0"/>
                <w:szCs w:val="21"/>
                <w:lang w:eastAsia="zh-CN"/>
              </w:rPr>
            </w:pPr>
            <w:r>
              <w:rPr>
                <w:rFonts w:hint="eastAsia" w:asciiTheme="minorEastAsia" w:hAnsiTheme="minorEastAsia" w:eastAsiaTheme="minorEastAsia"/>
                <w:b w:val="0"/>
                <w:bCs w:val="0"/>
                <w:szCs w:val="21"/>
                <w:lang w:val="en-US" w:eastAsia="zh-CN"/>
              </w:rPr>
              <w:t>1.4</w:t>
            </w:r>
            <w:r>
              <w:rPr>
                <w:rFonts w:hint="eastAsia" w:asciiTheme="minorEastAsia" w:hAnsiTheme="minorEastAsia" w:eastAsiaTheme="minorEastAsia"/>
                <w:b w:val="0"/>
                <w:bCs w:val="0"/>
                <w:szCs w:val="21"/>
              </w:rPr>
              <w:t>组网支持节点数：不小于32节点</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点对点传输距离</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5KM</w:t>
            </w:r>
            <w:r>
              <w:rPr>
                <w:rFonts w:hint="eastAsia"/>
                <w:lang w:eastAsia="zh-CN"/>
              </w:rPr>
              <w:t>。</w:t>
            </w:r>
          </w:p>
          <w:p>
            <w:pPr>
              <w:spacing w:after="60" w:line="360" w:lineRule="auto"/>
              <w:rPr>
                <w:rFonts w:hint="default"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1.5</w:t>
            </w:r>
            <w:r>
              <w:rPr>
                <w:rFonts w:hint="eastAsia" w:asciiTheme="minorEastAsia" w:hAnsiTheme="minorEastAsia" w:eastAsiaTheme="minorEastAsia"/>
                <w:b w:val="0"/>
                <w:bCs w:val="0"/>
                <w:szCs w:val="21"/>
              </w:rPr>
              <w:t>设备组网支持自同步，可在没有GPS等外部同步手段的条件下进行组网</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1.6</w:t>
            </w:r>
            <w:r>
              <w:rPr>
                <w:rFonts w:hint="eastAsia" w:asciiTheme="minorEastAsia" w:hAnsiTheme="minorEastAsia" w:eastAsiaTheme="minorEastAsia"/>
                <w:b w:val="0"/>
                <w:bCs w:val="0"/>
                <w:szCs w:val="21"/>
              </w:rPr>
              <w:t>扫频：支持扫频功能，实时查看周围无线环境各频点的干扰情况</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1.7</w:t>
            </w:r>
            <w:r>
              <w:rPr>
                <w:rFonts w:hint="eastAsia" w:asciiTheme="minorEastAsia" w:hAnsiTheme="minorEastAsia" w:eastAsiaTheme="minorEastAsia"/>
                <w:b w:val="0"/>
                <w:bCs w:val="0"/>
                <w:szCs w:val="21"/>
              </w:rPr>
              <w:t>传输速率：峰值速率不小于50Mbps</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1.8</w:t>
            </w:r>
            <w:r>
              <w:rPr>
                <w:rFonts w:hint="eastAsia" w:asciiTheme="minorEastAsia" w:hAnsiTheme="minorEastAsia" w:eastAsiaTheme="minorEastAsia"/>
                <w:b w:val="0"/>
                <w:bCs w:val="0"/>
                <w:szCs w:val="21"/>
              </w:rPr>
              <w:t>加密：支持DES等加密方式</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1.9</w:t>
            </w:r>
            <w:r>
              <w:rPr>
                <w:rFonts w:hint="eastAsia" w:asciiTheme="minorEastAsia" w:hAnsiTheme="minorEastAsia" w:eastAsiaTheme="minorEastAsia"/>
                <w:b w:val="0"/>
                <w:bCs w:val="0"/>
                <w:szCs w:val="21"/>
              </w:rPr>
              <w:t>防护等级：IP67</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1.10</w:t>
            </w:r>
            <w:r>
              <w:rPr>
                <w:rFonts w:hint="eastAsia" w:asciiTheme="minorEastAsia" w:hAnsiTheme="minorEastAsia" w:eastAsiaTheme="minorEastAsia"/>
                <w:b w:val="0"/>
                <w:bCs w:val="0"/>
                <w:szCs w:val="21"/>
              </w:rPr>
              <w:t>设备抗盐雾性能满足GJB 150.11A 盐雾试验要求</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1.11</w:t>
            </w:r>
            <w:r>
              <w:rPr>
                <w:rFonts w:hint="eastAsia" w:asciiTheme="minorEastAsia" w:hAnsiTheme="minorEastAsia" w:eastAsiaTheme="minorEastAsia"/>
                <w:b w:val="0"/>
                <w:bCs w:val="0"/>
                <w:szCs w:val="21"/>
              </w:rPr>
              <w:t>设备抗霉菌性能满足GJB 150.10A 霉菌试验要求</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1.12</w:t>
            </w:r>
            <w:r>
              <w:rPr>
                <w:rFonts w:hint="eastAsia" w:asciiTheme="minorEastAsia" w:hAnsiTheme="minorEastAsia" w:eastAsiaTheme="minorEastAsia"/>
                <w:b w:val="0"/>
                <w:bCs w:val="0"/>
                <w:szCs w:val="21"/>
              </w:rPr>
              <w:t>射频：采用2通道设计，支持2T2R</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1.13</w:t>
            </w:r>
            <w:r>
              <w:rPr>
                <w:rFonts w:hint="eastAsia" w:asciiTheme="minorEastAsia" w:hAnsiTheme="minorEastAsia" w:eastAsiaTheme="minorEastAsia"/>
                <w:b w:val="0"/>
                <w:bCs w:val="0"/>
                <w:szCs w:val="21"/>
              </w:rPr>
              <w:t>射频功率：≤2x2W</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1.14</w:t>
            </w:r>
            <w:r>
              <w:rPr>
                <w:rFonts w:hint="eastAsia" w:asciiTheme="minorEastAsia" w:hAnsiTheme="minorEastAsia" w:eastAsiaTheme="minorEastAsia"/>
                <w:b w:val="0"/>
                <w:bCs w:val="0"/>
                <w:szCs w:val="21"/>
              </w:rPr>
              <w:t>接收灵敏度：≤-103dBm</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1.15</w:t>
            </w:r>
            <w:r>
              <w:rPr>
                <w:rFonts w:hint="eastAsia" w:asciiTheme="minorEastAsia" w:hAnsiTheme="minorEastAsia" w:eastAsiaTheme="minorEastAsia"/>
                <w:b w:val="0"/>
                <w:bCs w:val="0"/>
                <w:szCs w:val="21"/>
              </w:rPr>
              <w:t>业务功能：支持语音通信、外部HDMI视频模块接入及回传、数据传输、设备定位回传等业务</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1.16</w:t>
            </w:r>
            <w:r>
              <w:rPr>
                <w:rFonts w:hint="eastAsia" w:asciiTheme="minorEastAsia" w:hAnsiTheme="minorEastAsia" w:eastAsiaTheme="minorEastAsia"/>
                <w:b w:val="0"/>
                <w:bCs w:val="0"/>
                <w:szCs w:val="21"/>
              </w:rPr>
              <w:t>抗振加固：GBT 4798.7-2007 电工电子产品应用环境条件第7 部分：携带和非固定使用：7M2 等级以上</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1.17</w:t>
            </w:r>
            <w:r>
              <w:rPr>
                <w:rFonts w:hint="eastAsia" w:asciiTheme="minorEastAsia" w:hAnsiTheme="minorEastAsia" w:eastAsiaTheme="minorEastAsia"/>
                <w:b w:val="0"/>
                <w:bCs w:val="0"/>
                <w:szCs w:val="21"/>
              </w:rPr>
              <w:t>网络功能：支持LTE基站组网VPN 透传，并支持与卫星、公网、LTE 等系统互联，满足融合组网需求</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lang w:val="en-US" w:eastAsia="zh-CN"/>
              </w:rPr>
              <w:t>1.18</w:t>
            </w:r>
            <w:r>
              <w:rPr>
                <w:rFonts w:hint="eastAsia" w:asciiTheme="minorEastAsia" w:hAnsiTheme="minorEastAsia" w:eastAsiaTheme="minorEastAsia"/>
                <w:b w:val="0"/>
                <w:bCs w:val="0"/>
                <w:szCs w:val="21"/>
              </w:rPr>
              <w:t>节点监控：支持节点连接链路拓扑显示、节点间链路质量显示；</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定位：支持定位，支持节点地图定位显示</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1.19</w:t>
            </w:r>
            <w:r>
              <w:rPr>
                <w:rFonts w:hint="eastAsia" w:asciiTheme="minorEastAsia" w:hAnsiTheme="minorEastAsia" w:eastAsiaTheme="minorEastAsia"/>
                <w:b w:val="0"/>
                <w:bCs w:val="0"/>
                <w:szCs w:val="21"/>
              </w:rPr>
              <w:t>管理：支持远程管理网络内各节点网络参数、工作频点、工作带宽等配置等</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1.20</w:t>
            </w:r>
            <w:r>
              <w:rPr>
                <w:rFonts w:hint="eastAsia" w:asciiTheme="minorEastAsia" w:hAnsiTheme="minorEastAsia" w:eastAsiaTheme="minorEastAsia"/>
                <w:b w:val="0"/>
                <w:bCs w:val="0"/>
                <w:szCs w:val="21"/>
              </w:rPr>
              <w:t>多跳性能：自组网具备多跳能力，节点中继跳数不小于6跳，6跳后带宽不低于7Mbps</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1.21</w:t>
            </w:r>
            <w:r>
              <w:rPr>
                <w:rFonts w:hint="eastAsia" w:asciiTheme="minorEastAsia" w:hAnsiTheme="minorEastAsia" w:eastAsiaTheme="minorEastAsia"/>
                <w:b w:val="0"/>
                <w:bCs w:val="0"/>
                <w:szCs w:val="21"/>
              </w:rPr>
              <w:t>组网时间：7台自组网设备开机组网时间不超过45秒</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1.22</w:t>
            </w:r>
            <w:r>
              <w:rPr>
                <w:rFonts w:hint="eastAsia" w:asciiTheme="minorEastAsia" w:hAnsiTheme="minorEastAsia" w:eastAsiaTheme="minorEastAsia"/>
                <w:b w:val="0"/>
                <w:bCs w:val="0"/>
                <w:szCs w:val="21"/>
              </w:rPr>
              <w:t>移动性支持：节点移动速度280km/h以上的情况下无丢包及断连，不影响业务</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1.23</w:t>
            </w:r>
            <w:r>
              <w:rPr>
                <w:rFonts w:hint="eastAsia" w:asciiTheme="minorEastAsia" w:hAnsiTheme="minorEastAsia" w:eastAsiaTheme="minorEastAsia"/>
                <w:b w:val="0"/>
                <w:bCs w:val="0"/>
                <w:szCs w:val="21"/>
              </w:rPr>
              <w:t>设备抗振性能满足GJB 150.16 振动试验要求</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1.24</w:t>
            </w:r>
            <w:r>
              <w:rPr>
                <w:rFonts w:hint="eastAsia" w:asciiTheme="minorEastAsia" w:hAnsiTheme="minorEastAsia" w:eastAsiaTheme="minorEastAsia"/>
                <w:b w:val="0"/>
                <w:bCs w:val="0"/>
                <w:szCs w:val="21"/>
              </w:rPr>
              <w:t>设备抗湿热性能满足GJB 150.9A 湿热试验要求</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 xml:space="preserve">1.25 </w:t>
            </w:r>
            <w:r>
              <w:rPr>
                <w:rFonts w:hint="eastAsia" w:asciiTheme="minorEastAsia" w:hAnsiTheme="minorEastAsia" w:eastAsiaTheme="minorEastAsia"/>
                <w:b w:val="0"/>
                <w:bCs w:val="0"/>
                <w:szCs w:val="21"/>
              </w:rPr>
              <w:t>WiFi：支持；接口：耳机、GPS、网口、外部电源等均采用航插结构，防水、防松脱，可靠性高</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1.26</w:t>
            </w:r>
            <w:r>
              <w:rPr>
                <w:rFonts w:hint="eastAsia" w:asciiTheme="minorEastAsia" w:hAnsiTheme="minorEastAsia" w:eastAsiaTheme="minorEastAsia"/>
                <w:b w:val="0"/>
                <w:bCs w:val="0"/>
                <w:szCs w:val="21"/>
              </w:rPr>
              <w:t>供电：设备具备自带电池供电，单块电池供电时间不小于6小时，同时支持外部电源供电</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1.27</w:t>
            </w:r>
            <w:r>
              <w:rPr>
                <w:rFonts w:hint="eastAsia" w:asciiTheme="minorEastAsia" w:hAnsiTheme="minorEastAsia" w:eastAsiaTheme="minorEastAsia"/>
                <w:b w:val="0"/>
                <w:bCs w:val="0"/>
                <w:szCs w:val="21"/>
              </w:rPr>
              <w:t>工作温度：-40~60℃，满足GJB150.3A 高温试验、GJB150.4A 低温试验要求</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1.28</w:t>
            </w:r>
            <w:r>
              <w:rPr>
                <w:rFonts w:hint="eastAsia" w:asciiTheme="minorEastAsia" w:hAnsiTheme="minorEastAsia" w:eastAsiaTheme="minorEastAsia"/>
                <w:b w:val="0"/>
                <w:bCs w:val="0"/>
                <w:szCs w:val="21"/>
              </w:rPr>
              <w:t>设备重量：设备含电池重量≤4.5kg</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1.29</w:t>
            </w:r>
            <w:r>
              <w:rPr>
                <w:rFonts w:hint="eastAsia" w:asciiTheme="minorEastAsia" w:hAnsiTheme="minorEastAsia" w:eastAsiaTheme="minorEastAsia"/>
                <w:b w:val="0"/>
                <w:bCs w:val="0"/>
                <w:szCs w:val="21"/>
              </w:rPr>
              <w:t>附件带视频头盔配套</w:t>
            </w:r>
            <w:r>
              <w:rPr>
                <w:rFonts w:hint="eastAsia" w:asciiTheme="minorEastAsia" w:hAnsiTheme="minorEastAsia" w:eastAsiaTheme="minorEastAsia"/>
                <w:b w:val="0"/>
                <w:bCs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80" w:type="dxa"/>
            <w:vAlign w:val="center"/>
          </w:tcPr>
          <w:p>
            <w:pPr>
              <w:spacing w:after="60" w:line="360" w:lineRule="auto"/>
              <w:jc w:val="center"/>
              <w:rPr>
                <w:rFonts w:asciiTheme="minorEastAsia" w:hAnsiTheme="minorEastAsia" w:eastAsiaTheme="minorEastAsia"/>
                <w:b w:val="0"/>
                <w:bCs/>
                <w:szCs w:val="21"/>
              </w:rPr>
            </w:pPr>
            <w:r>
              <w:rPr>
                <w:rFonts w:hint="eastAsia" w:ascii="宋体" w:hAnsi="宋体" w:eastAsia="宋体" w:cs="宋体"/>
                <w:color w:val="000000"/>
                <w:kern w:val="0"/>
                <w:sz w:val="21"/>
                <w:szCs w:val="21"/>
                <w:highlight w:val="none"/>
              </w:rPr>
              <w:t>手持式宽带自组网</w:t>
            </w:r>
          </w:p>
        </w:tc>
        <w:tc>
          <w:tcPr>
            <w:tcW w:w="6737" w:type="dxa"/>
          </w:tcPr>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2.1</w:t>
            </w:r>
            <w:r>
              <w:rPr>
                <w:rFonts w:hint="eastAsia" w:asciiTheme="minorEastAsia" w:hAnsiTheme="minorEastAsia" w:eastAsiaTheme="minorEastAsia"/>
                <w:b w:val="0"/>
                <w:bCs w:val="0"/>
                <w:szCs w:val="21"/>
              </w:rPr>
              <w:t>组网：支持多套设备无中心同频组网，支持点对点、点对多点、链状中继、星状、网状、混合等任意网络拓扑结构自适应动态调整，支持多跳接力及中继转发</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2.2</w:t>
            </w:r>
            <w:r>
              <w:rPr>
                <w:rFonts w:hint="eastAsia" w:asciiTheme="minorEastAsia" w:hAnsiTheme="minorEastAsia" w:eastAsiaTheme="minorEastAsia"/>
                <w:b w:val="0"/>
                <w:bCs w:val="0"/>
                <w:szCs w:val="21"/>
              </w:rPr>
              <w:t>设备组网支持自同步，可在没有GPS等外部同步手段的条件下进行组网</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2.3</w:t>
            </w:r>
            <w:r>
              <w:rPr>
                <w:rFonts w:hint="eastAsia" w:asciiTheme="minorEastAsia" w:hAnsiTheme="minorEastAsia" w:eastAsiaTheme="minorEastAsia"/>
                <w:b w:val="0"/>
                <w:bCs w:val="0"/>
                <w:szCs w:val="21"/>
              </w:rPr>
              <w:t>扫频：支持扫频功能，实时查看周围无线环境各频点的干扰情况</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2.4</w:t>
            </w:r>
            <w:r>
              <w:rPr>
                <w:rFonts w:hint="eastAsia" w:asciiTheme="minorEastAsia" w:hAnsiTheme="minorEastAsia" w:eastAsiaTheme="minorEastAsia"/>
                <w:b w:val="0"/>
                <w:bCs w:val="0"/>
                <w:szCs w:val="21"/>
              </w:rPr>
              <w:t>频段：支持486-546MHz，其他频段可定制</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2.5</w:t>
            </w:r>
            <w:r>
              <w:rPr>
                <w:rFonts w:hint="eastAsia" w:asciiTheme="minorEastAsia" w:hAnsiTheme="minorEastAsia" w:eastAsiaTheme="minorEastAsia"/>
                <w:b w:val="0"/>
                <w:bCs w:val="0"/>
                <w:szCs w:val="21"/>
              </w:rPr>
              <w:t>工作带宽：支持2.5M/5M/10MHz等自由配置</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2.6</w:t>
            </w:r>
            <w:r>
              <w:rPr>
                <w:rFonts w:hint="eastAsia" w:asciiTheme="minorEastAsia" w:hAnsiTheme="minorEastAsia" w:eastAsiaTheme="minorEastAsia"/>
                <w:b w:val="0"/>
                <w:bCs w:val="0"/>
                <w:szCs w:val="21"/>
              </w:rPr>
              <w:t>组网支持节点数：不小于32节点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点对点传输距离≧2KM</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2.7</w:t>
            </w:r>
            <w:r>
              <w:rPr>
                <w:rFonts w:hint="eastAsia" w:asciiTheme="minorEastAsia" w:hAnsiTheme="minorEastAsia" w:eastAsiaTheme="minorEastAsia"/>
                <w:b w:val="0"/>
                <w:bCs w:val="0"/>
                <w:szCs w:val="21"/>
              </w:rPr>
              <w:t>加密：支持DES等加密方式</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2.8</w:t>
            </w:r>
            <w:r>
              <w:rPr>
                <w:rFonts w:hint="eastAsia" w:asciiTheme="minorEastAsia" w:hAnsiTheme="minorEastAsia" w:eastAsiaTheme="minorEastAsia"/>
                <w:b w:val="0"/>
                <w:bCs w:val="0"/>
                <w:szCs w:val="21"/>
              </w:rPr>
              <w:t>射频功率：≤500mW</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2.9</w:t>
            </w:r>
            <w:r>
              <w:rPr>
                <w:rFonts w:hint="eastAsia" w:asciiTheme="minorEastAsia" w:hAnsiTheme="minorEastAsia" w:eastAsiaTheme="minorEastAsia"/>
                <w:b w:val="0"/>
                <w:bCs w:val="0"/>
                <w:szCs w:val="21"/>
              </w:rPr>
              <w:t>接收灵敏度：≤-103dBm</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2.10</w:t>
            </w:r>
            <w:r>
              <w:rPr>
                <w:rFonts w:hint="eastAsia" w:asciiTheme="minorEastAsia" w:hAnsiTheme="minorEastAsia" w:eastAsiaTheme="minorEastAsia"/>
                <w:b w:val="0"/>
                <w:bCs w:val="0"/>
                <w:szCs w:val="21"/>
              </w:rPr>
              <w:t>业务功能：支持外部HDMI视频模块接入及回传、数据传输、设备定位回传等业务</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2.11</w:t>
            </w:r>
            <w:r>
              <w:rPr>
                <w:rFonts w:hint="eastAsia" w:asciiTheme="minorEastAsia" w:hAnsiTheme="minorEastAsia" w:eastAsiaTheme="minorEastAsia"/>
                <w:b w:val="0"/>
                <w:bCs w:val="0"/>
                <w:szCs w:val="21"/>
              </w:rPr>
              <w:t>网络功能：支持LTE基站组网VPN 透传，并支持与卫星、公网、LTE 等系统互联，满足融合组网需求</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2.12</w:t>
            </w:r>
            <w:r>
              <w:rPr>
                <w:rFonts w:hint="eastAsia" w:asciiTheme="minorEastAsia" w:hAnsiTheme="minorEastAsia" w:eastAsiaTheme="minorEastAsia"/>
                <w:b w:val="0"/>
                <w:bCs w:val="0"/>
                <w:szCs w:val="21"/>
              </w:rPr>
              <w:t>节点监控：支持节点连接链路拓扑显示、节点间链路质量显示</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2.13</w:t>
            </w:r>
            <w:r>
              <w:rPr>
                <w:rFonts w:hint="eastAsia" w:asciiTheme="minorEastAsia" w:hAnsiTheme="minorEastAsia" w:eastAsiaTheme="minorEastAsia"/>
                <w:b w:val="0"/>
                <w:bCs w:val="0"/>
                <w:szCs w:val="21"/>
              </w:rPr>
              <w:t>定位：支持GPS/BD定位，支持节点地图定位显示</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2.14</w:t>
            </w:r>
            <w:r>
              <w:rPr>
                <w:rFonts w:hint="eastAsia" w:asciiTheme="minorEastAsia" w:hAnsiTheme="minorEastAsia" w:eastAsiaTheme="minorEastAsia"/>
                <w:b w:val="0"/>
                <w:bCs w:val="0"/>
                <w:szCs w:val="21"/>
              </w:rPr>
              <w:t>管理：支持远程管理网络内各节点网络参数、工作频点、工作带宽等配置等</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2.15</w:t>
            </w:r>
            <w:r>
              <w:rPr>
                <w:rFonts w:hint="eastAsia" w:asciiTheme="minorEastAsia" w:hAnsiTheme="minorEastAsia" w:eastAsiaTheme="minorEastAsia"/>
                <w:b w:val="0"/>
                <w:bCs w:val="0"/>
                <w:szCs w:val="21"/>
              </w:rPr>
              <w:t>多跳性能：自组网具备多跳能力，节点中继跳数不小于7跳</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2.16</w:t>
            </w:r>
            <w:r>
              <w:rPr>
                <w:rFonts w:hint="eastAsia" w:asciiTheme="minorEastAsia" w:hAnsiTheme="minorEastAsia" w:eastAsiaTheme="minorEastAsia"/>
                <w:b w:val="0"/>
                <w:bCs w:val="0"/>
                <w:szCs w:val="21"/>
              </w:rPr>
              <w:t>移动性支持：节点移动速度280km/h以上的情况下无丢包及断连，不影响业务</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2.17</w:t>
            </w:r>
            <w:r>
              <w:rPr>
                <w:rFonts w:hint="eastAsia" w:asciiTheme="minorEastAsia" w:hAnsiTheme="minorEastAsia" w:eastAsiaTheme="minorEastAsia"/>
                <w:b w:val="0"/>
                <w:bCs w:val="0"/>
                <w:szCs w:val="21"/>
              </w:rPr>
              <w:t>接口：外部配件接入采用航插接口，如网口等</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 xml:space="preserve">2.18 </w:t>
            </w:r>
            <w:r>
              <w:rPr>
                <w:rFonts w:hint="eastAsia" w:asciiTheme="minorEastAsia" w:hAnsiTheme="minorEastAsia" w:eastAsiaTheme="minorEastAsia"/>
                <w:b w:val="0"/>
                <w:bCs w:val="0"/>
                <w:szCs w:val="21"/>
              </w:rPr>
              <w:t>WiFi：支持2.4G及5.8G</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2.19</w:t>
            </w:r>
            <w:r>
              <w:rPr>
                <w:rFonts w:hint="eastAsia" w:asciiTheme="minorEastAsia" w:hAnsiTheme="minorEastAsia" w:eastAsiaTheme="minorEastAsia"/>
                <w:b w:val="0"/>
                <w:bCs w:val="0"/>
                <w:szCs w:val="21"/>
              </w:rPr>
              <w:t>屏幕尺寸：不低于1.7英寸</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2.20</w:t>
            </w:r>
            <w:r>
              <w:rPr>
                <w:rFonts w:hint="eastAsia" w:asciiTheme="minorEastAsia" w:hAnsiTheme="minorEastAsia" w:eastAsiaTheme="minorEastAsia"/>
                <w:b w:val="0"/>
                <w:bCs w:val="0"/>
                <w:szCs w:val="21"/>
              </w:rPr>
              <w:t>按键：PTT按键、全功能数字键盘</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2.21</w:t>
            </w:r>
            <w:r>
              <w:rPr>
                <w:rFonts w:hint="eastAsia" w:asciiTheme="minorEastAsia" w:hAnsiTheme="minorEastAsia" w:eastAsiaTheme="minorEastAsia"/>
                <w:b w:val="0"/>
                <w:bCs w:val="0"/>
                <w:szCs w:val="21"/>
              </w:rPr>
              <w:t>工作温度：-20~55℃</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2.22</w:t>
            </w:r>
            <w:r>
              <w:rPr>
                <w:rFonts w:hint="eastAsia" w:asciiTheme="minorEastAsia" w:hAnsiTheme="minorEastAsia" w:eastAsiaTheme="minorEastAsia"/>
                <w:b w:val="0"/>
                <w:bCs w:val="0"/>
                <w:szCs w:val="21"/>
              </w:rPr>
              <w:t>主体尺寸：≤160x70x35mm</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2.23</w:t>
            </w:r>
            <w:r>
              <w:rPr>
                <w:rFonts w:hint="eastAsia" w:asciiTheme="minorEastAsia" w:hAnsiTheme="minorEastAsia" w:eastAsiaTheme="minorEastAsia"/>
                <w:b w:val="0"/>
                <w:bCs w:val="0"/>
                <w:szCs w:val="21"/>
              </w:rPr>
              <w:t>设备重量（含电池，不含天线和背夹）：≤500g</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2.24</w:t>
            </w:r>
            <w:r>
              <w:rPr>
                <w:rFonts w:hint="eastAsia" w:asciiTheme="minorEastAsia" w:hAnsiTheme="minorEastAsia" w:eastAsiaTheme="minorEastAsia"/>
                <w:b w:val="0"/>
                <w:bCs w:val="0"/>
                <w:szCs w:val="21"/>
              </w:rPr>
              <w:t>防护等级：IP67</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2.25</w:t>
            </w:r>
            <w:r>
              <w:rPr>
                <w:rFonts w:hint="eastAsia" w:asciiTheme="minorEastAsia" w:hAnsiTheme="minorEastAsia" w:eastAsiaTheme="minorEastAsia"/>
                <w:b w:val="0"/>
                <w:bCs w:val="0"/>
                <w:szCs w:val="21"/>
              </w:rPr>
              <w:t>附件带视频头盔配套</w:t>
            </w:r>
            <w:r>
              <w:rPr>
                <w:rFonts w:hint="eastAsia" w:asciiTheme="minorEastAsia" w:hAnsiTheme="minorEastAsia" w:eastAsiaTheme="minorEastAsia"/>
                <w:b w:val="0"/>
                <w:bCs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80" w:type="dxa"/>
            <w:vAlign w:val="center"/>
          </w:tcPr>
          <w:p>
            <w:pPr>
              <w:spacing w:after="60" w:line="360" w:lineRule="auto"/>
              <w:jc w:val="center"/>
              <w:rPr>
                <w:rFonts w:asciiTheme="minorEastAsia" w:hAnsiTheme="minorEastAsia" w:eastAsiaTheme="minorEastAsia"/>
                <w:b w:val="0"/>
                <w:bCs/>
                <w:szCs w:val="21"/>
              </w:rPr>
            </w:pPr>
            <w:r>
              <w:rPr>
                <w:rFonts w:hint="eastAsia" w:asciiTheme="minorEastAsia" w:hAnsiTheme="minorEastAsia" w:eastAsiaTheme="minorEastAsia"/>
                <w:b w:val="0"/>
                <w:bCs/>
                <w:szCs w:val="21"/>
              </w:rPr>
              <w:t>数字信号覆盖设备</w:t>
            </w:r>
          </w:p>
        </w:tc>
        <w:tc>
          <w:tcPr>
            <w:tcW w:w="6737" w:type="dxa"/>
          </w:tcPr>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3.1</w:t>
            </w:r>
            <w:r>
              <w:rPr>
                <w:rFonts w:hint="eastAsia" w:asciiTheme="minorEastAsia" w:hAnsiTheme="minorEastAsia" w:eastAsiaTheme="minorEastAsia"/>
                <w:b w:val="0"/>
                <w:bCs w:val="0"/>
                <w:szCs w:val="21"/>
              </w:rPr>
              <w:t>支持频率范围（产品参数区间与招标要求不一致的均视为负偏离）：上行824MHz～835MHz，下行869MHz～880MHz；上行1710MHz～1730MHz，下行1805MHz～1825MHz；上行1920MHz～1965MHz，下行2110MHz～2155MHz；提供CMA或CNAS认证的第三方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3.2</w:t>
            </w:r>
            <w:r>
              <w:rPr>
                <w:rFonts w:hint="eastAsia" w:asciiTheme="minorEastAsia" w:hAnsiTheme="minorEastAsia" w:eastAsiaTheme="minorEastAsia"/>
                <w:b w:val="0"/>
                <w:bCs w:val="0"/>
                <w:szCs w:val="21"/>
              </w:rPr>
              <w:t>额定输出功率≥18dBm；增益≥68dB；AGC范围≥20dB；输入驻波≤2.0；噪声≤6dB；ACPR（ACLR）≤-36dBc；传输时延≤5us；提供CMA或CNAS认证的第三方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3.3</w:t>
            </w:r>
            <w:r>
              <w:rPr>
                <w:rFonts w:hint="eastAsia" w:asciiTheme="minorEastAsia" w:hAnsiTheme="minorEastAsia" w:eastAsiaTheme="minorEastAsia"/>
                <w:b w:val="0"/>
                <w:bCs w:val="0"/>
                <w:szCs w:val="21"/>
              </w:rPr>
              <w:t>杂散发射:9kHz-150kHz/1kHz,≤-36dBm；150kHz-30MHz/10kHz,≤-36dBm；30MHz-1GHz/100kHz≤-36dBm；1GHz-12.75GHz/1MHz≤-30dBm</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3.4</w:t>
            </w:r>
            <w:r>
              <w:rPr>
                <w:rFonts w:hint="eastAsia" w:asciiTheme="minorEastAsia" w:hAnsiTheme="minorEastAsia" w:eastAsiaTheme="minorEastAsia"/>
                <w:b w:val="0"/>
                <w:bCs w:val="0"/>
                <w:szCs w:val="21"/>
              </w:rPr>
              <w:t>支持制式:支持FDD-LTE网络制式</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3.5</w:t>
            </w:r>
            <w:r>
              <w:rPr>
                <w:rFonts w:hint="eastAsia" w:asciiTheme="minorEastAsia" w:hAnsiTheme="minorEastAsia" w:eastAsiaTheme="minorEastAsia"/>
                <w:b w:val="0"/>
                <w:bCs w:val="0"/>
                <w:szCs w:val="21"/>
              </w:rPr>
              <w:t>网络功能:支持与卫星、公网、LTE连接功能，提供WIFI功能</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网口采用航插接口</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提供CMA或CNAS认证的第三方</w:t>
            </w:r>
            <w:r>
              <w:rPr>
                <w:rFonts w:hint="eastAsia" w:asciiTheme="minorEastAsia" w:hAnsiTheme="minorEastAsia" w:eastAsiaTheme="minorEastAsia"/>
                <w:b w:val="0"/>
                <w:bCs w:val="0"/>
                <w:szCs w:val="21"/>
                <w:lang w:val="en-US" w:eastAsia="zh-CN"/>
              </w:rPr>
              <w:t>权威</w:t>
            </w:r>
            <w:r>
              <w:rPr>
                <w:rFonts w:hint="eastAsia" w:asciiTheme="minorEastAsia" w:hAnsiTheme="minorEastAsia" w:eastAsiaTheme="minorEastAsia"/>
                <w:b w:val="0"/>
                <w:bCs w:val="0"/>
                <w:szCs w:val="21"/>
              </w:rPr>
              <w:t>检测机构出具的检验报告扫描件</w:t>
            </w:r>
            <w:r>
              <w:rPr>
                <w:rFonts w:hint="eastAsia" w:asciiTheme="minorEastAsia" w:hAnsiTheme="minorEastAsia" w:eastAsiaTheme="minorEastAsia"/>
                <w:b w:val="0"/>
                <w:bCs w:val="0"/>
                <w:szCs w:val="21"/>
                <w:lang w:val="en-US" w:eastAsia="zh-CN"/>
              </w:rPr>
              <w:t>或复印件</w:t>
            </w:r>
            <w:r>
              <w:rPr>
                <w:rFonts w:hint="eastAsia" w:asciiTheme="minorEastAsia" w:hAnsiTheme="minorEastAsia" w:eastAsiaTheme="minorEastAsia"/>
                <w:b w:val="0"/>
                <w:bCs w:val="0"/>
                <w:szCs w:val="21"/>
              </w:rPr>
              <w:t>并加盖投标人公章</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3.6</w:t>
            </w:r>
            <w:r>
              <w:rPr>
                <w:rFonts w:hint="eastAsia" w:asciiTheme="minorEastAsia" w:hAnsiTheme="minorEastAsia" w:eastAsiaTheme="minorEastAsia"/>
                <w:b w:val="0"/>
                <w:bCs w:val="0"/>
                <w:szCs w:val="21"/>
              </w:rPr>
              <w:t>供电:设备具备自带电池供电，电池供电时间≥5.5 小时，同时支持外部电源供电</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3.7</w:t>
            </w:r>
            <w:r>
              <w:rPr>
                <w:rFonts w:hint="eastAsia" w:asciiTheme="minorEastAsia" w:hAnsiTheme="minorEastAsia" w:eastAsiaTheme="minorEastAsia"/>
                <w:b w:val="0"/>
                <w:bCs w:val="0"/>
                <w:szCs w:val="21"/>
              </w:rPr>
              <w:t>电量功能:有电池电量显示功能</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3.8</w:t>
            </w:r>
            <w:r>
              <w:rPr>
                <w:rFonts w:hint="eastAsia" w:asciiTheme="minorEastAsia" w:hAnsiTheme="minorEastAsia" w:eastAsiaTheme="minorEastAsia"/>
                <w:b w:val="0"/>
                <w:bCs w:val="0"/>
                <w:szCs w:val="21"/>
              </w:rPr>
              <w:t>设备尺寸: 含电池设备尺寸≤ 360x290x90mm</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3.9</w:t>
            </w:r>
            <w:r>
              <w:rPr>
                <w:rFonts w:hint="eastAsia" w:asciiTheme="minorEastAsia" w:hAnsiTheme="minorEastAsia" w:eastAsiaTheme="minorEastAsia"/>
                <w:b w:val="0"/>
                <w:bCs w:val="0"/>
                <w:szCs w:val="21"/>
              </w:rPr>
              <w:t>重量:设备含电池重量≤6.5kg</w:t>
            </w:r>
            <w:r>
              <w:rPr>
                <w:rFonts w:hint="eastAsia" w:asciiTheme="minorEastAsia" w:hAnsiTheme="minorEastAsia" w:eastAsiaTheme="minorEastAsia"/>
                <w:b w:val="0"/>
                <w:bCs w:val="0"/>
                <w:szCs w:val="21"/>
                <w:lang w:eastAsia="zh-CN"/>
              </w:rPr>
              <w:t>。</w:t>
            </w:r>
          </w:p>
          <w:p>
            <w:pPr>
              <w:spacing w:after="60" w:line="360" w:lineRule="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lang w:val="en-US" w:eastAsia="zh-CN"/>
              </w:rPr>
              <w:t>3.10</w:t>
            </w:r>
            <w:r>
              <w:rPr>
                <w:rFonts w:hint="eastAsia" w:asciiTheme="minorEastAsia" w:hAnsiTheme="minorEastAsia" w:eastAsiaTheme="minorEastAsia"/>
                <w:b w:val="0"/>
                <w:bCs w:val="0"/>
                <w:szCs w:val="21"/>
              </w:rPr>
              <w:t>工作温度：-20~55℃</w:t>
            </w:r>
            <w:r>
              <w:rPr>
                <w:rFonts w:hint="eastAsia" w:asciiTheme="minorEastAsia" w:hAnsiTheme="minorEastAsia" w:eastAsiaTheme="minorEastAsia"/>
                <w:b w:val="0"/>
                <w:bCs w:val="0"/>
                <w:szCs w:val="21"/>
                <w:lang w:eastAsia="zh-CN"/>
              </w:rPr>
              <w:t>。</w:t>
            </w:r>
          </w:p>
          <w:p>
            <w:pPr>
              <w:spacing w:after="60" w:line="360" w:lineRule="auto"/>
              <w:rPr>
                <w:rFonts w:hint="default"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3.11覆盖范围：≧2000㎡。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pPr>
              <w:spacing w:after="60"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c>
          <w:tcPr>
            <w:tcW w:w="1980" w:type="dxa"/>
            <w:vAlign w:val="center"/>
          </w:tcPr>
          <w:p>
            <w:pPr>
              <w:spacing w:after="60" w:line="360" w:lineRule="auto"/>
              <w:jc w:val="center"/>
              <w:rPr>
                <w:rFonts w:asciiTheme="minorEastAsia" w:hAnsiTheme="minorEastAsia" w:eastAsiaTheme="minorEastAsia"/>
                <w:b w:val="0"/>
                <w:bCs/>
                <w:szCs w:val="21"/>
              </w:rPr>
            </w:pPr>
            <w:r>
              <w:rPr>
                <w:rFonts w:hint="eastAsia" w:asciiTheme="minorEastAsia" w:hAnsiTheme="minorEastAsia" w:eastAsiaTheme="minorEastAsia"/>
                <w:b w:val="0"/>
                <w:bCs/>
                <w:szCs w:val="21"/>
              </w:rPr>
              <w:t>野战光缆</w:t>
            </w:r>
          </w:p>
        </w:tc>
        <w:tc>
          <w:tcPr>
            <w:tcW w:w="6737" w:type="dxa"/>
          </w:tcPr>
          <w:p>
            <w:pPr>
              <w:spacing w:after="60" w:line="360" w:lineRule="auto"/>
              <w:rPr>
                <w:rFonts w:hint="default"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4.1 300米带反光条、带绕盘光纤。</w:t>
            </w:r>
          </w:p>
        </w:tc>
      </w:tr>
      <w:bookmarkEnd w:id="113"/>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1620"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目录</w:t>
            </w:r>
          </w:p>
        </w:tc>
        <w:tc>
          <w:tcPr>
            <w:tcW w:w="7559"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noWrap w:val="0"/>
            <w:vAlign w:val="center"/>
          </w:tcPr>
          <w:p>
            <w:pPr>
              <w:spacing w:line="360" w:lineRule="auto"/>
              <w:jc w:val="center"/>
              <w:rPr>
                <w:rFonts w:ascii="宋体" w:hAnsi="宋体" w:eastAsia="宋体"/>
                <w:b/>
                <w:szCs w:val="21"/>
              </w:rPr>
            </w:pPr>
            <w:r>
              <w:rPr>
                <w:rFonts w:hint="eastAsia" w:ascii="宋体" w:hAnsi="宋体" w:eastAsia="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noWrap w:val="0"/>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1620" w:type="dxa"/>
            <w:vMerge w:val="restart"/>
            <w:noWrap w:val="0"/>
            <w:vAlign w:val="center"/>
          </w:tcPr>
          <w:p>
            <w:pPr>
              <w:spacing w:line="360" w:lineRule="auto"/>
              <w:jc w:val="center"/>
              <w:rPr>
                <w:rFonts w:ascii="宋体" w:hAnsi="宋体" w:eastAsia="宋体"/>
                <w:szCs w:val="21"/>
              </w:rPr>
            </w:pPr>
            <w:r>
              <w:rPr>
                <w:rFonts w:hint="eastAsia" w:ascii="宋体" w:hAnsi="宋体" w:eastAsia="宋体"/>
                <w:b/>
                <w:kern w:val="0"/>
                <w:szCs w:val="21"/>
              </w:rPr>
              <w:t>维修及维护服务</w:t>
            </w:r>
          </w:p>
        </w:tc>
        <w:tc>
          <w:tcPr>
            <w:tcW w:w="7559" w:type="dxa"/>
            <w:noWrap w:val="0"/>
            <w:vAlign w:val="top"/>
          </w:tcPr>
          <w:p>
            <w:pPr>
              <w:spacing w:line="360" w:lineRule="auto"/>
              <w:rPr>
                <w:rFonts w:hint="eastAsia" w:ascii="宋体" w:hAnsi="宋体" w:eastAsia="宋体"/>
                <w:b/>
                <w:szCs w:val="21"/>
                <w:lang w:eastAsia="zh-CN"/>
              </w:rPr>
            </w:pPr>
            <w:r>
              <w:rPr>
                <w:rFonts w:hint="eastAsia" w:ascii="宋体" w:hAnsi="宋体" w:eastAsia="宋体"/>
                <w:kern w:val="0"/>
                <w:szCs w:val="21"/>
                <w:highlight w:val="yellow"/>
              </w:rPr>
              <w:t>★</w:t>
            </w:r>
            <w:r>
              <w:rPr>
                <w:rFonts w:hint="eastAsia" w:ascii="宋体" w:hAnsi="宋体" w:eastAsia="宋体"/>
                <w:b/>
                <w:kern w:val="0"/>
                <w:szCs w:val="21"/>
                <w:highlight w:val="yellow"/>
              </w:rPr>
              <w:t>1.1投标人应在投标文件中承诺提供</w:t>
            </w:r>
            <w:r>
              <w:rPr>
                <w:rFonts w:hint="eastAsia" w:ascii="宋体" w:hAnsi="宋体" w:eastAsia="宋体"/>
                <w:b/>
                <w:kern w:val="0"/>
                <w:szCs w:val="21"/>
                <w:highlight w:val="yellow"/>
                <w:lang w:val="en-US" w:eastAsia="zh-CN"/>
              </w:rPr>
              <w:t>本项目所有设备</w:t>
            </w:r>
            <w:r>
              <w:rPr>
                <w:rFonts w:hint="eastAsia" w:ascii="宋体" w:hAnsi="宋体" w:eastAsia="宋体"/>
                <w:b/>
                <w:kern w:val="0"/>
                <w:szCs w:val="21"/>
                <w:highlight w:val="yellow"/>
              </w:rPr>
              <w:t>免费保修期不少于</w:t>
            </w:r>
            <w:r>
              <w:rPr>
                <w:rFonts w:hint="eastAsia" w:ascii="宋体" w:hAnsi="宋体" w:eastAsia="宋体"/>
                <w:b/>
                <w:kern w:val="0"/>
                <w:szCs w:val="21"/>
                <w:highlight w:val="yellow"/>
                <w:u w:val="single"/>
                <w:lang w:val="en-US" w:eastAsia="zh-CN"/>
              </w:rPr>
              <w:t xml:space="preserve"> </w:t>
            </w:r>
            <w:r>
              <w:rPr>
                <w:rFonts w:hint="eastAsia" w:ascii="宋体" w:hAnsi="宋体" w:eastAsia="宋体"/>
                <w:b/>
                <w:bCs/>
                <w:kern w:val="0"/>
                <w:szCs w:val="21"/>
                <w:highlight w:val="yellow"/>
                <w:u w:val="single"/>
                <w:lang w:val="en-US" w:eastAsia="zh-CN"/>
              </w:rPr>
              <w:t xml:space="preserve">8 </w:t>
            </w:r>
            <w:r>
              <w:rPr>
                <w:rFonts w:hint="eastAsia" w:ascii="宋体" w:hAnsi="宋体" w:eastAsia="宋体"/>
                <w:b/>
                <w:kern w:val="0"/>
                <w:szCs w:val="21"/>
                <w:highlight w:val="yellow"/>
              </w:rPr>
              <w:t>年</w:t>
            </w:r>
            <w:r>
              <w:rPr>
                <w:rFonts w:ascii="宋体" w:hAnsi="宋体" w:eastAsia="宋体"/>
                <w:b/>
                <w:kern w:val="0"/>
                <w:szCs w:val="21"/>
                <w:highlight w:val="yellow"/>
              </w:rPr>
              <w:t>,</w:t>
            </w:r>
            <w:r>
              <w:rPr>
                <w:rFonts w:hint="eastAsia" w:ascii="宋体" w:hAnsi="宋体" w:eastAsia="宋体"/>
                <w:b/>
                <w:kern w:val="0"/>
                <w:szCs w:val="21"/>
                <w:highlight w:val="yellow"/>
              </w:rPr>
              <w:t>终身维修。保修期内</w:t>
            </w:r>
            <w:r>
              <w:rPr>
                <w:rFonts w:ascii="宋体" w:hAnsi="宋体" w:eastAsia="宋体"/>
                <w:b/>
                <w:kern w:val="0"/>
                <w:szCs w:val="21"/>
                <w:highlight w:val="yellow"/>
              </w:rPr>
              <w:t>,</w:t>
            </w:r>
            <w:r>
              <w:rPr>
                <w:rFonts w:hint="eastAsia" w:ascii="宋体" w:hAnsi="宋体" w:eastAsia="宋体"/>
                <w:b/>
                <w:kern w:val="0"/>
                <w:szCs w:val="21"/>
                <w:highlight w:val="yellow"/>
              </w:rPr>
              <w:t>年度定期预防性维护保养次数应不少于</w:t>
            </w:r>
            <w:r>
              <w:rPr>
                <w:rFonts w:hint="eastAsia" w:ascii="宋体" w:hAnsi="宋体" w:eastAsia="宋体"/>
                <w:b/>
                <w:bCs/>
                <w:kern w:val="0"/>
                <w:szCs w:val="21"/>
                <w:highlight w:val="yellow"/>
                <w:u w:val="single"/>
              </w:rPr>
              <w:t xml:space="preserve">  2  </w:t>
            </w:r>
            <w:r>
              <w:rPr>
                <w:rFonts w:hint="eastAsia" w:ascii="宋体" w:hAnsi="宋体" w:eastAsia="宋体"/>
                <w:b/>
                <w:kern w:val="0"/>
                <w:szCs w:val="21"/>
                <w:highlight w:val="yellow"/>
              </w:rPr>
              <w:t>次。保修期内免费更换零配件、免工时费。</w:t>
            </w:r>
            <w:r>
              <w:rPr>
                <w:rFonts w:hint="eastAsia" w:ascii="宋体" w:hAnsi="宋体" w:eastAsia="宋体"/>
                <w:b/>
                <w:color w:val="FF0000"/>
                <w:kern w:val="0"/>
                <w:szCs w:val="21"/>
                <w:highlight w:val="yellow"/>
                <w:lang w:eastAsia="zh-CN"/>
              </w:rPr>
              <w:t>（需提供《</w:t>
            </w:r>
            <w:r>
              <w:rPr>
                <w:rFonts w:hint="eastAsia" w:ascii="宋体" w:hAnsi="宋体" w:eastAsia="宋体"/>
                <w:b/>
                <w:color w:val="FF0000"/>
                <w:kern w:val="0"/>
                <w:szCs w:val="21"/>
                <w:highlight w:val="yellow"/>
                <w:lang w:val="en-US" w:eastAsia="zh-CN"/>
              </w:rPr>
              <w:t>免费保修期</w:t>
            </w:r>
            <w:r>
              <w:rPr>
                <w:rFonts w:hint="eastAsia" w:ascii="宋体" w:hAnsi="宋体" w:eastAsia="宋体"/>
                <w:b/>
                <w:color w:val="FF0000"/>
                <w:kern w:val="0"/>
                <w:szCs w:val="21"/>
                <w:highlight w:val="yellow"/>
                <w:lang w:eastAsia="zh-CN"/>
              </w:rPr>
              <w:t>承诺函》作为响应依据，格式自拟，未提供承诺或承诺内容不满足要求的视为负偏离，按投标无效处理）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kern w:val="0"/>
                <w:szCs w:val="21"/>
              </w:rPr>
            </w:pPr>
          </w:p>
        </w:tc>
        <w:tc>
          <w:tcPr>
            <w:tcW w:w="7559" w:type="dxa"/>
            <w:noWrap w:val="0"/>
            <w:vAlign w:val="top"/>
          </w:tcPr>
          <w:p>
            <w:pPr>
              <w:spacing w:line="360" w:lineRule="auto"/>
              <w:rPr>
                <w:rFonts w:ascii="宋体" w:hAnsi="宋体" w:eastAsia="宋体"/>
                <w:bCs/>
                <w:szCs w:val="21"/>
              </w:rPr>
            </w:pPr>
            <w:r>
              <w:rPr>
                <w:rFonts w:hint="eastAsia" w:ascii="宋体" w:hAnsi="宋体" w:eastAsia="宋体"/>
                <w:kern w:val="0"/>
                <w:szCs w:val="21"/>
              </w:rPr>
              <w:t>1.2由设备制造商提供售后服务，</w:t>
            </w:r>
            <w:r>
              <w:rPr>
                <w:rFonts w:hint="eastAsia" w:ascii="宋体" w:hAnsi="宋体" w:eastAsia="宋体"/>
                <w:bCs/>
                <w:kern w:val="0"/>
                <w:szCs w:val="21"/>
                <w:u w:val="single"/>
              </w:rPr>
              <w:t xml:space="preserve">  2  </w:t>
            </w:r>
            <w:r>
              <w:rPr>
                <w:rFonts w:hint="eastAsia" w:ascii="宋体" w:hAnsi="宋体" w:eastAsia="宋体"/>
                <w:kern w:val="0"/>
                <w:szCs w:val="21"/>
              </w:rPr>
              <w:t>小时内响应，</w:t>
            </w:r>
            <w:r>
              <w:rPr>
                <w:rFonts w:hint="eastAsia" w:ascii="宋体" w:hAnsi="宋体" w:eastAsia="宋体"/>
                <w:bCs/>
                <w:kern w:val="0"/>
                <w:szCs w:val="21"/>
                <w:u w:val="single"/>
              </w:rPr>
              <w:t xml:space="preserve">  24  </w:t>
            </w:r>
            <w:r>
              <w:rPr>
                <w:rFonts w:hint="eastAsia" w:ascii="宋体" w:hAnsi="宋体" w:eastAsia="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kern w:val="0"/>
                <w:szCs w:val="21"/>
              </w:rPr>
            </w:pPr>
          </w:p>
        </w:tc>
        <w:tc>
          <w:tcPr>
            <w:tcW w:w="7559" w:type="dxa"/>
            <w:noWrap w:val="0"/>
            <w:vAlign w:val="top"/>
          </w:tcPr>
          <w:p>
            <w:pPr>
              <w:spacing w:line="360" w:lineRule="auto"/>
              <w:rPr>
                <w:rFonts w:ascii="宋体" w:hAnsi="宋体" w:eastAsia="宋体"/>
                <w:bCs/>
                <w:szCs w:val="21"/>
              </w:rPr>
            </w:pPr>
            <w:r>
              <w:rPr>
                <w:rFonts w:hint="eastAsia" w:ascii="宋体" w:hAnsi="宋体" w:eastAsia="宋体"/>
                <w:kern w:val="0"/>
                <w:szCs w:val="21"/>
              </w:rPr>
              <w:t>1.3投标人负责货物的终身维修，保证</w:t>
            </w:r>
            <w:r>
              <w:rPr>
                <w:rFonts w:hint="eastAsia" w:ascii="宋体" w:hAnsi="宋体" w:eastAsia="宋体"/>
                <w:bCs/>
                <w:kern w:val="0"/>
                <w:szCs w:val="21"/>
                <w:u w:val="single"/>
              </w:rPr>
              <w:t>终身</w:t>
            </w:r>
            <w:r>
              <w:rPr>
                <w:rFonts w:hint="eastAsia" w:ascii="宋体" w:hAnsi="宋体" w:eastAsia="宋体"/>
                <w:kern w:val="0"/>
                <w:szCs w:val="21"/>
              </w:rPr>
              <w:t>供应维修配件，</w:t>
            </w:r>
            <w:r>
              <w:rPr>
                <w:rFonts w:hint="eastAsia" w:ascii="宋体" w:hAnsi="宋体" w:eastAsia="宋体"/>
                <w:bCs/>
                <w:kern w:val="0"/>
                <w:szCs w:val="21"/>
                <w:u w:val="single"/>
              </w:rPr>
              <w:t xml:space="preserve">  3  </w:t>
            </w:r>
            <w:r>
              <w:rPr>
                <w:rFonts w:hint="eastAsia" w:ascii="宋体" w:hAnsi="宋体" w:eastAsia="宋体"/>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noWrap w:val="0"/>
            <w:vAlign w:val="center"/>
          </w:tcPr>
          <w:p>
            <w:pPr>
              <w:spacing w:line="360" w:lineRule="auto"/>
              <w:jc w:val="center"/>
              <w:rPr>
                <w:rFonts w:ascii="宋体" w:hAnsi="宋体" w:eastAsia="宋体"/>
                <w:b/>
                <w:szCs w:val="21"/>
              </w:rPr>
            </w:pPr>
            <w:r>
              <w:rPr>
                <w:rFonts w:hint="eastAsia" w:ascii="宋体" w:hAnsi="宋体" w:eastAsia="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noWrap w:val="0"/>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1620" w:type="dxa"/>
            <w:vMerge w:val="restart"/>
            <w:noWrap w:val="0"/>
            <w:vAlign w:val="center"/>
          </w:tcPr>
          <w:p>
            <w:pPr>
              <w:spacing w:line="360" w:lineRule="auto"/>
              <w:jc w:val="center"/>
              <w:rPr>
                <w:rFonts w:ascii="宋体" w:hAnsi="宋体" w:eastAsia="宋体"/>
                <w:b/>
                <w:szCs w:val="21"/>
              </w:rPr>
            </w:pPr>
            <w:r>
              <w:rPr>
                <w:rFonts w:hint="eastAsia" w:ascii="宋体" w:hAnsi="宋体" w:eastAsia="宋体"/>
                <w:b/>
                <w:kern w:val="0"/>
                <w:szCs w:val="21"/>
              </w:rPr>
              <w:t>维修零配件、消耗品和延续保修合同的报价</w:t>
            </w:r>
          </w:p>
        </w:tc>
        <w:tc>
          <w:tcPr>
            <w:tcW w:w="7559" w:type="dxa"/>
            <w:noWrap w:val="0"/>
            <w:vAlign w:val="top"/>
          </w:tcPr>
          <w:p>
            <w:pPr>
              <w:spacing w:line="360" w:lineRule="auto"/>
              <w:rPr>
                <w:rFonts w:ascii="宋体" w:hAnsi="宋体" w:eastAsia="宋体"/>
                <w:kern w:val="0"/>
                <w:szCs w:val="21"/>
              </w:rPr>
            </w:pPr>
            <w:r>
              <w:rPr>
                <w:rFonts w:hint="eastAsia" w:ascii="宋体" w:hAnsi="宋体" w:eastAsia="宋体"/>
                <w:kern w:val="0"/>
                <w:szCs w:val="21"/>
              </w:rPr>
              <w:t>1.1由设备制造商提供售后服务，</w:t>
            </w:r>
            <w:r>
              <w:rPr>
                <w:rFonts w:hint="eastAsia" w:ascii="宋体" w:hAnsi="宋体" w:eastAsia="宋体"/>
                <w:bCs/>
                <w:kern w:val="0"/>
                <w:szCs w:val="21"/>
                <w:u w:val="single"/>
              </w:rPr>
              <w:t xml:space="preserve">  2  </w:t>
            </w:r>
            <w:r>
              <w:rPr>
                <w:rFonts w:hint="eastAsia" w:ascii="宋体" w:hAnsi="宋体" w:eastAsia="宋体"/>
                <w:kern w:val="0"/>
                <w:szCs w:val="21"/>
              </w:rPr>
              <w:t>小时内响应，</w:t>
            </w:r>
            <w:r>
              <w:rPr>
                <w:rFonts w:hint="eastAsia" w:ascii="宋体" w:hAnsi="宋体" w:eastAsia="宋体"/>
                <w:bCs/>
                <w:kern w:val="0"/>
                <w:szCs w:val="21"/>
                <w:u w:val="single"/>
              </w:rPr>
              <w:t xml:space="preserve">  24  </w:t>
            </w:r>
            <w:r>
              <w:rPr>
                <w:rFonts w:hint="eastAsia" w:ascii="宋体" w:hAnsi="宋体" w:eastAsia="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kern w:val="0"/>
                <w:szCs w:val="21"/>
              </w:rPr>
            </w:pPr>
          </w:p>
        </w:tc>
        <w:tc>
          <w:tcPr>
            <w:tcW w:w="7559" w:type="dxa"/>
            <w:noWrap w:val="0"/>
            <w:vAlign w:val="top"/>
          </w:tcPr>
          <w:p>
            <w:pPr>
              <w:spacing w:line="360" w:lineRule="auto"/>
              <w:rPr>
                <w:rFonts w:ascii="宋体" w:hAnsi="宋体" w:eastAsia="宋体"/>
                <w:kern w:val="0"/>
                <w:szCs w:val="21"/>
              </w:rPr>
            </w:pPr>
            <w:r>
              <w:rPr>
                <w:rFonts w:hint="eastAsia" w:ascii="宋体" w:hAnsi="宋体" w:eastAsia="宋体"/>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szCs w:val="21"/>
              </w:rPr>
            </w:pPr>
          </w:p>
        </w:tc>
        <w:tc>
          <w:tcPr>
            <w:tcW w:w="7559" w:type="dxa"/>
            <w:noWrap w:val="0"/>
            <w:vAlign w:val="top"/>
          </w:tcPr>
          <w:p>
            <w:pPr>
              <w:spacing w:line="360" w:lineRule="auto"/>
              <w:rPr>
                <w:rFonts w:ascii="宋体" w:hAnsi="宋体" w:eastAsia="宋体"/>
                <w:kern w:val="0"/>
                <w:szCs w:val="21"/>
              </w:rPr>
            </w:pPr>
            <w:r>
              <w:rPr>
                <w:rFonts w:hint="eastAsia" w:ascii="宋体" w:hAnsi="宋体" w:eastAsia="宋体"/>
                <w:kern w:val="0"/>
                <w:szCs w:val="21"/>
              </w:rPr>
              <w:t>1.3采购人可与投标人就优惠价进行谈判，但优惠价不得高于投标人在投标文件的《零配件、消耗品和延续保修合同报价明细清单》中承诺的维修零配件、消耗品和延续保修合同的报价。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szCs w:val="21"/>
              </w:rPr>
            </w:pPr>
          </w:p>
        </w:tc>
        <w:tc>
          <w:tcPr>
            <w:tcW w:w="7559" w:type="dxa"/>
            <w:noWrap w:val="0"/>
            <w:vAlign w:val="top"/>
          </w:tcPr>
          <w:p>
            <w:pPr>
              <w:spacing w:line="360" w:lineRule="auto"/>
              <w:rPr>
                <w:rFonts w:ascii="宋体" w:hAnsi="宋体" w:eastAsia="宋体"/>
                <w:b/>
                <w:szCs w:val="21"/>
              </w:rPr>
            </w:pPr>
            <w:r>
              <w:rPr>
                <w:rFonts w:hint="eastAsia" w:ascii="宋体" w:hAnsi="宋体" w:eastAsia="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szCs w:val="21"/>
              </w:rPr>
            </w:pPr>
          </w:p>
        </w:tc>
        <w:tc>
          <w:tcPr>
            <w:tcW w:w="7559" w:type="dxa"/>
            <w:noWrap w:val="0"/>
            <w:vAlign w:val="top"/>
          </w:tcPr>
          <w:p>
            <w:pPr>
              <w:spacing w:line="360" w:lineRule="auto"/>
              <w:rPr>
                <w:rFonts w:ascii="宋体" w:hAnsi="宋体" w:eastAsia="宋体"/>
                <w:b/>
                <w:szCs w:val="21"/>
              </w:rPr>
            </w:pPr>
            <w:r>
              <w:rPr>
                <w:rFonts w:hint="eastAsia" w:ascii="宋体" w:hAnsi="宋体" w:eastAsia="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noWrap w:val="0"/>
            <w:vAlign w:val="center"/>
          </w:tcPr>
          <w:p>
            <w:pPr>
              <w:spacing w:line="360" w:lineRule="auto"/>
              <w:jc w:val="center"/>
              <w:rPr>
                <w:rFonts w:ascii="宋体" w:hAnsi="宋体" w:eastAsia="宋体"/>
                <w:b/>
                <w:szCs w:val="21"/>
              </w:rPr>
            </w:pPr>
            <w:r>
              <w:rPr>
                <w:rFonts w:hint="eastAsia" w:ascii="宋体" w:hAnsi="宋体" w:eastAsia="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noWrap w:val="0"/>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1620" w:type="dxa"/>
            <w:vMerge w:val="restart"/>
            <w:noWrap w:val="0"/>
            <w:vAlign w:val="center"/>
          </w:tcPr>
          <w:p>
            <w:pPr>
              <w:spacing w:line="360" w:lineRule="auto"/>
              <w:jc w:val="center"/>
              <w:rPr>
                <w:rFonts w:ascii="宋体" w:hAnsi="宋体" w:eastAsia="宋体"/>
                <w:szCs w:val="21"/>
              </w:rPr>
            </w:pPr>
            <w:r>
              <w:rPr>
                <w:rFonts w:hint="eastAsia" w:ascii="宋体" w:hAnsi="宋体" w:eastAsia="宋体"/>
                <w:b/>
                <w:szCs w:val="21"/>
              </w:rPr>
              <w:t>交货要求</w:t>
            </w:r>
          </w:p>
        </w:tc>
        <w:tc>
          <w:tcPr>
            <w:tcW w:w="7559" w:type="dxa"/>
            <w:noWrap w:val="0"/>
            <w:vAlign w:val="top"/>
          </w:tcPr>
          <w:p>
            <w:pPr>
              <w:spacing w:line="360" w:lineRule="auto"/>
              <w:rPr>
                <w:rFonts w:ascii="宋体" w:hAnsi="宋体" w:eastAsia="宋体"/>
                <w:b/>
                <w:szCs w:val="21"/>
              </w:rPr>
            </w:pPr>
            <w:r>
              <w:rPr>
                <w:rFonts w:hint="eastAsia" w:ascii="宋体" w:hAnsi="宋体" w:eastAsia="宋体"/>
                <w:kern w:val="0"/>
                <w:szCs w:val="21"/>
                <w:highlight w:val="yellow"/>
              </w:rPr>
              <w:t>★</w:t>
            </w:r>
            <w:r>
              <w:rPr>
                <w:rFonts w:hint="eastAsia" w:ascii="宋体" w:hAnsi="宋体" w:eastAsia="宋体"/>
                <w:b/>
                <w:bCs/>
                <w:szCs w:val="21"/>
                <w:highlight w:val="yellow"/>
              </w:rPr>
              <w:t>1.1</w:t>
            </w:r>
            <w:r>
              <w:rPr>
                <w:rFonts w:hint="eastAsia" w:ascii="宋体" w:hAnsi="宋体" w:eastAsia="宋体"/>
                <w:b/>
                <w:bCs/>
                <w:kern w:val="0"/>
                <w:szCs w:val="21"/>
                <w:highlight w:val="yellow"/>
              </w:rPr>
              <w:t>签订合同之日起</w:t>
            </w:r>
            <w:r>
              <w:rPr>
                <w:rFonts w:hint="eastAsia" w:ascii="宋体" w:hAnsi="宋体" w:eastAsia="宋体"/>
                <w:b/>
                <w:bCs/>
                <w:kern w:val="0"/>
                <w:szCs w:val="21"/>
                <w:highlight w:val="yellow"/>
                <w:u w:val="single"/>
              </w:rPr>
              <w:t>30</w:t>
            </w:r>
            <w:r>
              <w:rPr>
                <w:rFonts w:hint="eastAsia" w:ascii="宋体" w:hAnsi="宋体" w:eastAsia="宋体"/>
                <w:b/>
                <w:bCs/>
                <w:kern w:val="0"/>
                <w:szCs w:val="21"/>
                <w:highlight w:val="yellow"/>
              </w:rPr>
              <w:t>天（日历日）内交货。指合同生效后，中标方将全部货物运抵并安装调试完成，经验收合格，正式交付用户使用所需的时间（产品的附件、备品备件及专用工具、技术文件和资料等应随产品一同交付）。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szCs w:val="21"/>
              </w:rPr>
            </w:pPr>
          </w:p>
        </w:tc>
        <w:tc>
          <w:tcPr>
            <w:tcW w:w="7559" w:type="dxa"/>
            <w:noWrap w:val="0"/>
            <w:vAlign w:val="top"/>
          </w:tcPr>
          <w:p>
            <w:pPr>
              <w:spacing w:line="360" w:lineRule="auto"/>
              <w:rPr>
                <w:rFonts w:ascii="宋体" w:hAnsi="宋体" w:eastAsia="宋体"/>
                <w:bCs/>
                <w:szCs w:val="21"/>
              </w:rPr>
            </w:pPr>
            <w:r>
              <w:rPr>
                <w:rFonts w:hint="eastAsia" w:ascii="宋体" w:hAnsi="宋体" w:eastAsia="宋体"/>
                <w:bCs/>
                <w:szCs w:val="21"/>
              </w:rPr>
              <w:t>1.2投标人</w:t>
            </w:r>
            <w:r>
              <w:rPr>
                <w:rFonts w:hint="eastAsia" w:ascii="宋体" w:hAnsi="宋体" w:eastAsia="宋体"/>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szCs w:val="21"/>
              </w:rPr>
            </w:pPr>
          </w:p>
        </w:tc>
        <w:tc>
          <w:tcPr>
            <w:tcW w:w="7559" w:type="dxa"/>
            <w:noWrap w:val="0"/>
            <w:vAlign w:val="top"/>
          </w:tcPr>
          <w:p>
            <w:pPr>
              <w:spacing w:line="360" w:lineRule="auto"/>
              <w:rPr>
                <w:rFonts w:ascii="宋体" w:hAnsi="宋体" w:eastAsia="宋体"/>
                <w:bCs/>
                <w:szCs w:val="21"/>
              </w:rPr>
            </w:pPr>
            <w:r>
              <w:rPr>
                <w:rFonts w:hint="eastAsia" w:ascii="宋体" w:hAnsi="宋体" w:eastAsia="宋体"/>
                <w:spacing w:val="-3"/>
                <w:szCs w:val="21"/>
              </w:rPr>
              <w:t>1.3提供的货物必须为全新、经检验合格的产品。产品如需要计量检定的应提供相关计量检定部门出具的合法检定报告。其中，进口设备必须具有</w:t>
            </w:r>
            <w:r>
              <w:rPr>
                <w:rFonts w:hint="eastAsia" w:ascii="宋体" w:hAnsi="宋体" w:eastAsia="宋体"/>
                <w:kern w:val="0"/>
                <w:szCs w:val="21"/>
              </w:rPr>
              <w:t>报关证明</w:t>
            </w:r>
            <w:r>
              <w:rPr>
                <w:rFonts w:hint="eastAsia" w:ascii="宋体" w:hAnsi="宋体" w:eastAsia="宋体"/>
                <w:spacing w:val="-3"/>
                <w:szCs w:val="21"/>
              </w:rPr>
              <w:t>文件、</w:t>
            </w:r>
            <w:r>
              <w:rPr>
                <w:rFonts w:hint="eastAsia" w:ascii="宋体" w:hAnsi="宋体" w:eastAsia="宋体"/>
                <w:kern w:val="0"/>
                <w:szCs w:val="21"/>
              </w:rPr>
              <w:t>原产地证明和</w:t>
            </w:r>
            <w:r>
              <w:rPr>
                <w:rFonts w:hint="eastAsia" w:ascii="宋体" w:hAnsi="宋体" w:eastAsia="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noWrap w:val="0"/>
            <w:vAlign w:val="center"/>
          </w:tcPr>
          <w:p>
            <w:pPr>
              <w:spacing w:line="360" w:lineRule="auto"/>
              <w:jc w:val="center"/>
              <w:rPr>
                <w:rFonts w:ascii="宋体" w:hAnsi="宋体" w:eastAsia="宋体"/>
                <w:b/>
                <w:szCs w:val="21"/>
              </w:rPr>
            </w:pPr>
            <w:r>
              <w:rPr>
                <w:rFonts w:hint="eastAsia" w:ascii="宋体" w:hAnsi="宋体" w:eastAsia="宋体"/>
                <w:b/>
                <w:szCs w:val="21"/>
              </w:rPr>
              <w:t>2</w:t>
            </w:r>
          </w:p>
        </w:tc>
        <w:tc>
          <w:tcPr>
            <w:tcW w:w="1620" w:type="dxa"/>
            <w:vMerge w:val="restart"/>
            <w:noWrap w:val="0"/>
            <w:vAlign w:val="center"/>
          </w:tcPr>
          <w:p>
            <w:pPr>
              <w:spacing w:line="360" w:lineRule="auto"/>
              <w:jc w:val="center"/>
              <w:rPr>
                <w:rFonts w:ascii="宋体" w:hAnsi="宋体" w:eastAsia="宋体"/>
                <w:szCs w:val="21"/>
              </w:rPr>
            </w:pPr>
            <w:r>
              <w:rPr>
                <w:rFonts w:hint="eastAsia" w:ascii="宋体" w:hAnsi="宋体" w:eastAsia="宋体"/>
                <w:b/>
                <w:bCs/>
                <w:kern w:val="0"/>
                <w:szCs w:val="21"/>
              </w:rPr>
              <w:t>运输、安装和验收</w:t>
            </w:r>
          </w:p>
        </w:tc>
        <w:tc>
          <w:tcPr>
            <w:tcW w:w="7559" w:type="dxa"/>
            <w:noWrap w:val="0"/>
            <w:vAlign w:val="top"/>
          </w:tcPr>
          <w:p>
            <w:pPr>
              <w:spacing w:line="360" w:lineRule="auto"/>
              <w:rPr>
                <w:rFonts w:ascii="宋体" w:hAnsi="宋体" w:eastAsia="宋体"/>
                <w:bCs/>
                <w:szCs w:val="21"/>
              </w:rPr>
            </w:pPr>
            <w:r>
              <w:rPr>
                <w:rFonts w:hint="eastAsia" w:ascii="宋体" w:hAnsi="宋体" w:eastAsia="宋体"/>
                <w:bCs/>
                <w:szCs w:val="21"/>
              </w:rPr>
              <w:t>2.1投标人</w:t>
            </w:r>
            <w:r>
              <w:rPr>
                <w:rFonts w:hint="eastAsia" w:ascii="宋体" w:hAnsi="宋体" w:eastAsia="宋体"/>
                <w:bCs/>
                <w:kern w:val="0"/>
                <w:szCs w:val="21"/>
              </w:rPr>
              <w:t>负责将</w:t>
            </w:r>
            <w:r>
              <w:rPr>
                <w:rFonts w:hint="eastAsia" w:ascii="宋体" w:hAnsi="宋体" w:eastAsia="宋体"/>
                <w:kern w:val="0"/>
                <w:szCs w:val="21"/>
              </w:rPr>
              <w:t>货物</w:t>
            </w:r>
            <w:r>
              <w:rPr>
                <w:rFonts w:hint="eastAsia" w:ascii="宋体" w:hAnsi="宋体" w:eastAsia="宋体"/>
                <w:bCs/>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szCs w:val="21"/>
              </w:rPr>
            </w:pPr>
          </w:p>
        </w:tc>
        <w:tc>
          <w:tcPr>
            <w:tcW w:w="7559" w:type="dxa"/>
            <w:noWrap w:val="0"/>
            <w:vAlign w:val="top"/>
          </w:tcPr>
          <w:p>
            <w:pPr>
              <w:tabs>
                <w:tab w:val="left" w:pos="1260"/>
              </w:tabs>
              <w:spacing w:line="360" w:lineRule="auto"/>
              <w:rPr>
                <w:rFonts w:ascii="宋体" w:hAnsi="宋体" w:eastAsia="宋体"/>
                <w:bCs/>
                <w:szCs w:val="21"/>
              </w:rPr>
            </w:pPr>
            <w:r>
              <w:rPr>
                <w:rFonts w:hint="eastAsia" w:ascii="宋体" w:hAnsi="宋体" w:eastAsia="宋体"/>
                <w:bCs/>
                <w:szCs w:val="21"/>
              </w:rPr>
              <w:t>2.2</w:t>
            </w:r>
            <w:r>
              <w:rPr>
                <w:rFonts w:hint="eastAsia" w:ascii="宋体" w:hAnsi="宋体" w:eastAsia="宋体"/>
                <w:bCs/>
                <w:kern w:val="0"/>
                <w:szCs w:val="21"/>
              </w:rPr>
              <w:t>采购人有权检验或测试货物，以确认货物是否符合合同规格的要求，并且不承担额外的费用。如果发现所交货物与投标文件中所承诺的不符或存在质量、技术缺陷等</w:t>
            </w:r>
            <w:r>
              <w:rPr>
                <w:rFonts w:ascii="宋体" w:hAnsi="宋体" w:eastAsia="宋体"/>
                <w:bCs/>
                <w:kern w:val="0"/>
                <w:szCs w:val="21"/>
              </w:rPr>
              <w:t>,</w:t>
            </w:r>
            <w:r>
              <w:rPr>
                <w:rFonts w:hint="eastAsia" w:ascii="宋体" w:hAnsi="宋体" w:eastAsia="宋体"/>
                <w:bCs/>
                <w:kern w:val="0"/>
                <w:szCs w:val="21"/>
              </w:rPr>
              <w:t>采购人可以拒绝接收该货物</w:t>
            </w:r>
            <w:r>
              <w:rPr>
                <w:rFonts w:ascii="宋体" w:hAnsi="宋体" w:eastAsia="宋体"/>
                <w:bCs/>
                <w:kern w:val="0"/>
                <w:szCs w:val="21"/>
              </w:rPr>
              <w:t>,</w:t>
            </w:r>
            <w:r>
              <w:rPr>
                <w:rFonts w:hint="eastAsia" w:ascii="宋体" w:hAnsi="宋体" w:eastAsia="宋体"/>
                <w:bCs/>
                <w:kern w:val="0"/>
                <w:szCs w:val="21"/>
              </w:rPr>
              <w:t>投标人应在</w:t>
            </w:r>
            <w:r>
              <w:rPr>
                <w:rFonts w:hint="eastAsia" w:ascii="宋体" w:hAnsi="宋体" w:eastAsia="宋体"/>
                <w:bCs/>
                <w:kern w:val="0"/>
                <w:szCs w:val="21"/>
                <w:u w:val="single"/>
              </w:rPr>
              <w:t xml:space="preserve"> 3个工作日</w:t>
            </w:r>
            <w:r>
              <w:rPr>
                <w:rFonts w:hint="eastAsia" w:ascii="宋体" w:hAnsi="宋体" w:eastAsia="宋体"/>
                <w:bCs/>
                <w:kern w:val="0"/>
                <w:szCs w:val="21"/>
              </w:rPr>
              <w:t>内采取补足、更换或退货等措施</w:t>
            </w:r>
            <w:r>
              <w:rPr>
                <w:rFonts w:ascii="宋体" w:hAnsi="宋体" w:eastAsia="宋体"/>
                <w:bCs/>
                <w:kern w:val="0"/>
                <w:szCs w:val="21"/>
              </w:rPr>
              <w:t>,</w:t>
            </w:r>
            <w:r>
              <w:rPr>
                <w:rFonts w:hint="eastAsia" w:ascii="宋体" w:hAnsi="宋体" w:eastAsia="宋体"/>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szCs w:val="21"/>
              </w:rPr>
            </w:pPr>
          </w:p>
        </w:tc>
        <w:tc>
          <w:tcPr>
            <w:tcW w:w="7559" w:type="dxa"/>
            <w:noWrap w:val="0"/>
            <w:vAlign w:val="top"/>
          </w:tcPr>
          <w:p>
            <w:pPr>
              <w:tabs>
                <w:tab w:val="left" w:pos="1260"/>
              </w:tabs>
              <w:spacing w:line="360" w:lineRule="auto"/>
              <w:rPr>
                <w:rFonts w:ascii="宋体" w:hAnsi="宋体" w:eastAsia="宋体"/>
                <w:bCs/>
                <w:szCs w:val="21"/>
              </w:rPr>
            </w:pPr>
            <w:r>
              <w:rPr>
                <w:rFonts w:hint="eastAsia" w:ascii="宋体" w:hAnsi="宋体" w:eastAsia="宋体"/>
                <w:spacing w:val="-3"/>
                <w:szCs w:val="21"/>
              </w:rPr>
              <w:t>2.3投标人负责货物的现场安装和调试</w:t>
            </w:r>
            <w:r>
              <w:rPr>
                <w:rFonts w:ascii="宋体" w:hAnsi="宋体" w:eastAsia="宋体"/>
                <w:spacing w:val="-3"/>
                <w:szCs w:val="21"/>
              </w:rPr>
              <w:t>,</w:t>
            </w:r>
            <w:r>
              <w:rPr>
                <w:rFonts w:hint="eastAsia" w:ascii="宋体" w:hAnsi="宋体" w:eastAsia="宋体"/>
                <w:spacing w:val="-3"/>
                <w:szCs w:val="21"/>
              </w:rPr>
              <w:t>提供货物安装、调试和维修所需的专用工具和辅助材料。投标人应在货物运至指定地点后一周内开始安装调试</w:t>
            </w:r>
            <w:r>
              <w:rPr>
                <w:rFonts w:ascii="宋体" w:hAnsi="宋体" w:eastAsia="宋体"/>
                <w:spacing w:val="-3"/>
                <w:szCs w:val="21"/>
              </w:rPr>
              <w:t>,</w:t>
            </w:r>
            <w:r>
              <w:rPr>
                <w:rFonts w:hint="eastAsia" w:ascii="宋体" w:hAnsi="宋体" w:eastAsia="宋体"/>
                <w:spacing w:val="-3"/>
                <w:szCs w:val="21"/>
              </w:rPr>
              <w:t>并在</w:t>
            </w:r>
            <w:r>
              <w:rPr>
                <w:rFonts w:hint="eastAsia" w:ascii="宋体" w:hAnsi="宋体" w:eastAsia="宋体"/>
                <w:bCs/>
                <w:kern w:val="0"/>
                <w:szCs w:val="21"/>
                <w:u w:val="single"/>
              </w:rPr>
              <w:t xml:space="preserve"> 7 </w:t>
            </w:r>
            <w:r>
              <w:rPr>
                <w:rFonts w:hint="eastAsia" w:ascii="宋体" w:hAnsi="宋体" w:eastAsia="宋体"/>
                <w:spacing w:val="-3"/>
                <w:szCs w:val="21"/>
              </w:rPr>
              <w:t>天（日历日）内安装调试完毕。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szCs w:val="21"/>
              </w:rPr>
            </w:pPr>
          </w:p>
        </w:tc>
        <w:tc>
          <w:tcPr>
            <w:tcW w:w="7559" w:type="dxa"/>
            <w:noWrap w:val="0"/>
            <w:vAlign w:val="top"/>
          </w:tcPr>
          <w:p>
            <w:pPr>
              <w:tabs>
                <w:tab w:val="left" w:pos="1260"/>
              </w:tabs>
              <w:spacing w:line="360" w:lineRule="auto"/>
              <w:rPr>
                <w:rFonts w:ascii="宋体" w:hAnsi="宋体" w:eastAsia="宋体"/>
                <w:bCs/>
                <w:szCs w:val="21"/>
              </w:rPr>
            </w:pPr>
            <w:r>
              <w:rPr>
                <w:rFonts w:hint="eastAsia" w:ascii="宋体" w:hAnsi="宋体" w:eastAsia="宋体"/>
                <w:spacing w:val="-3"/>
                <w:szCs w:val="21"/>
              </w:rPr>
              <w:t>2.4由投标人代表和采购人组成验收小组对产品进行验收。验收标准按照国家规定标准执行。经检验设备正常运作后签署验收报告</w:t>
            </w:r>
            <w:r>
              <w:rPr>
                <w:rFonts w:ascii="宋体" w:hAnsi="宋体" w:eastAsia="宋体"/>
                <w:spacing w:val="-3"/>
                <w:szCs w:val="21"/>
              </w:rPr>
              <w:t>,</w:t>
            </w:r>
            <w:r>
              <w:rPr>
                <w:rFonts w:hint="eastAsia" w:ascii="宋体" w:hAnsi="宋体" w:eastAsia="宋体"/>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3</w:t>
            </w:r>
          </w:p>
        </w:tc>
        <w:tc>
          <w:tcPr>
            <w:tcW w:w="1620" w:type="dxa"/>
            <w:noWrap w:val="0"/>
            <w:vAlign w:val="center"/>
          </w:tcPr>
          <w:p>
            <w:pPr>
              <w:spacing w:line="360" w:lineRule="auto"/>
              <w:jc w:val="center"/>
              <w:rPr>
                <w:rFonts w:ascii="宋体" w:hAnsi="宋体" w:eastAsia="宋体"/>
                <w:b/>
                <w:szCs w:val="21"/>
              </w:rPr>
            </w:pPr>
            <w:r>
              <w:rPr>
                <w:rFonts w:hint="eastAsia" w:ascii="宋体" w:hAnsi="宋体" w:eastAsia="宋体"/>
                <w:b/>
                <w:kern w:val="0"/>
                <w:szCs w:val="21"/>
              </w:rPr>
              <w:t>培训</w:t>
            </w:r>
          </w:p>
        </w:tc>
        <w:tc>
          <w:tcPr>
            <w:tcW w:w="7559" w:type="dxa"/>
            <w:noWrap w:val="0"/>
            <w:vAlign w:val="top"/>
          </w:tcPr>
          <w:p>
            <w:pPr>
              <w:spacing w:line="360" w:lineRule="auto"/>
              <w:rPr>
                <w:rFonts w:ascii="宋体" w:hAnsi="宋体" w:eastAsia="宋体"/>
                <w:b/>
                <w:szCs w:val="21"/>
              </w:rPr>
            </w:pPr>
            <w:r>
              <w:rPr>
                <w:rFonts w:hint="eastAsia" w:ascii="宋体" w:hAnsi="宋体" w:eastAsia="宋体"/>
                <w:bCs/>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noWrap w:val="0"/>
            <w:vAlign w:val="center"/>
          </w:tcPr>
          <w:p>
            <w:pPr>
              <w:spacing w:line="360" w:lineRule="auto"/>
              <w:jc w:val="center"/>
              <w:rPr>
                <w:rFonts w:ascii="宋体" w:hAnsi="宋体" w:eastAsia="宋体"/>
                <w:b/>
                <w:kern w:val="0"/>
                <w:szCs w:val="21"/>
              </w:rPr>
            </w:pPr>
            <w:r>
              <w:rPr>
                <w:rFonts w:hint="eastAsia" w:ascii="宋体" w:hAnsi="宋体" w:eastAsia="宋体"/>
                <w:b/>
                <w:kern w:val="0"/>
                <w:szCs w:val="21"/>
              </w:rPr>
              <w:t>4</w:t>
            </w:r>
          </w:p>
        </w:tc>
        <w:tc>
          <w:tcPr>
            <w:tcW w:w="1620" w:type="dxa"/>
            <w:vMerge w:val="restart"/>
            <w:noWrap w:val="0"/>
            <w:vAlign w:val="center"/>
          </w:tcPr>
          <w:p>
            <w:pPr>
              <w:tabs>
                <w:tab w:val="left" w:pos="1260"/>
              </w:tabs>
              <w:spacing w:line="360" w:lineRule="auto"/>
              <w:jc w:val="center"/>
              <w:rPr>
                <w:rFonts w:ascii="宋体" w:hAnsi="宋体" w:eastAsia="宋体"/>
                <w:b/>
                <w:kern w:val="0"/>
                <w:szCs w:val="21"/>
              </w:rPr>
            </w:pPr>
            <w:r>
              <w:rPr>
                <w:rFonts w:hint="eastAsia" w:ascii="宋体" w:hAnsi="宋体" w:eastAsia="宋体"/>
                <w:b/>
                <w:kern w:val="0"/>
                <w:szCs w:val="21"/>
              </w:rPr>
              <w:t>知识产权</w:t>
            </w:r>
          </w:p>
        </w:tc>
        <w:tc>
          <w:tcPr>
            <w:tcW w:w="7559" w:type="dxa"/>
            <w:noWrap w:val="0"/>
            <w:vAlign w:val="top"/>
          </w:tcPr>
          <w:p>
            <w:pPr>
              <w:tabs>
                <w:tab w:val="left" w:pos="1260"/>
              </w:tabs>
              <w:spacing w:line="360" w:lineRule="auto"/>
              <w:rPr>
                <w:rFonts w:ascii="宋体" w:hAnsi="宋体" w:eastAsia="宋体"/>
                <w:kern w:val="0"/>
                <w:szCs w:val="21"/>
              </w:rPr>
            </w:pPr>
            <w:r>
              <w:rPr>
                <w:rFonts w:hint="eastAsia" w:ascii="宋体" w:hAnsi="宋体" w:eastAsia="宋体"/>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noWrap w:val="0"/>
            <w:vAlign w:val="center"/>
          </w:tcPr>
          <w:p>
            <w:pPr>
              <w:spacing w:line="360" w:lineRule="auto"/>
              <w:jc w:val="center"/>
              <w:rPr>
                <w:rFonts w:ascii="宋体" w:hAnsi="宋体" w:eastAsia="宋体"/>
                <w:b/>
                <w:kern w:val="0"/>
                <w:szCs w:val="21"/>
              </w:rPr>
            </w:pPr>
          </w:p>
        </w:tc>
        <w:tc>
          <w:tcPr>
            <w:tcW w:w="1620" w:type="dxa"/>
            <w:vMerge w:val="continue"/>
            <w:noWrap w:val="0"/>
            <w:vAlign w:val="center"/>
          </w:tcPr>
          <w:p>
            <w:pPr>
              <w:spacing w:line="360" w:lineRule="auto"/>
              <w:jc w:val="center"/>
              <w:rPr>
                <w:rFonts w:ascii="宋体" w:hAnsi="宋体" w:eastAsia="宋体"/>
                <w:b/>
                <w:kern w:val="0"/>
                <w:szCs w:val="21"/>
              </w:rPr>
            </w:pPr>
          </w:p>
        </w:tc>
        <w:tc>
          <w:tcPr>
            <w:tcW w:w="7559" w:type="dxa"/>
            <w:noWrap w:val="0"/>
            <w:vAlign w:val="top"/>
          </w:tcPr>
          <w:p>
            <w:pPr>
              <w:spacing w:line="360" w:lineRule="auto"/>
              <w:rPr>
                <w:rFonts w:ascii="宋体" w:hAnsi="宋体" w:eastAsia="宋体"/>
                <w:kern w:val="0"/>
                <w:szCs w:val="21"/>
              </w:rPr>
            </w:pPr>
            <w:r>
              <w:rPr>
                <w:rFonts w:hint="eastAsia" w:ascii="宋体" w:hAnsi="宋体" w:eastAsia="宋体"/>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5</w:t>
            </w:r>
          </w:p>
        </w:tc>
        <w:tc>
          <w:tcPr>
            <w:tcW w:w="1620" w:type="dxa"/>
            <w:noWrap w:val="0"/>
            <w:vAlign w:val="center"/>
          </w:tcPr>
          <w:p>
            <w:pPr>
              <w:spacing w:line="360" w:lineRule="auto"/>
              <w:jc w:val="center"/>
              <w:rPr>
                <w:rFonts w:ascii="宋体" w:hAnsi="宋体" w:eastAsia="宋体"/>
                <w:b/>
                <w:bCs/>
                <w:kern w:val="0"/>
                <w:szCs w:val="21"/>
              </w:rPr>
            </w:pPr>
            <w:r>
              <w:rPr>
                <w:rFonts w:hint="eastAsia" w:ascii="宋体" w:hAnsi="宋体" w:eastAsia="宋体"/>
                <w:b/>
                <w:bCs/>
                <w:kern w:val="0"/>
                <w:szCs w:val="21"/>
              </w:rPr>
              <w:t>付款方式</w:t>
            </w:r>
          </w:p>
        </w:tc>
        <w:tc>
          <w:tcPr>
            <w:tcW w:w="7559" w:type="dxa"/>
            <w:noWrap w:val="0"/>
            <w:vAlign w:val="top"/>
          </w:tcPr>
          <w:p>
            <w:pPr>
              <w:tabs>
                <w:tab w:val="left" w:pos="1260"/>
              </w:tabs>
              <w:spacing w:line="360" w:lineRule="auto"/>
              <w:rPr>
                <w:rFonts w:ascii="宋体" w:hAnsi="宋体" w:eastAsia="宋体"/>
                <w:bCs/>
                <w:szCs w:val="21"/>
              </w:rPr>
            </w:pPr>
            <w:r>
              <w:rPr>
                <w:rFonts w:hint="eastAsia" w:ascii="宋体" w:hAnsi="宋体" w:eastAsia="宋体"/>
                <w:kern w:val="0"/>
                <w:szCs w:val="21"/>
              </w:rPr>
              <w:t>5.1</w:t>
            </w:r>
            <w:r>
              <w:rPr>
                <w:rFonts w:hint="eastAsia" w:ascii="宋体" w:hAnsi="宋体" w:cs="宋体"/>
                <w:bCs/>
                <w:szCs w:val="21"/>
              </w:rPr>
              <w:t>签订合同后，采购人向中标人支付合同总价的</w:t>
            </w:r>
            <w:r>
              <w:rPr>
                <w:rFonts w:hint="eastAsia" w:ascii="宋体" w:hAnsi="宋体" w:cs="宋体"/>
                <w:bCs/>
                <w:szCs w:val="21"/>
                <w:lang w:val="en-US" w:eastAsia="zh-CN"/>
              </w:rPr>
              <w:t>60</w:t>
            </w:r>
            <w:r>
              <w:rPr>
                <w:rFonts w:hint="eastAsia" w:ascii="宋体" w:hAnsi="宋体" w:cs="宋体"/>
                <w:bCs/>
                <w:szCs w:val="21"/>
              </w:rPr>
              <w:t>%作为预付款，</w:t>
            </w:r>
            <w:r>
              <w:rPr>
                <w:rFonts w:hint="eastAsia" w:ascii="宋体" w:hAnsi="宋体" w:eastAsia="宋体"/>
                <w:kern w:val="0"/>
                <w:szCs w:val="21"/>
              </w:rPr>
              <w:t>货到指定地点并验收合格后支付合同总价的</w:t>
            </w:r>
            <w:r>
              <w:rPr>
                <w:rFonts w:hint="eastAsia" w:ascii="宋体" w:hAnsi="宋体" w:eastAsia="宋体"/>
                <w:kern w:val="0"/>
                <w:szCs w:val="21"/>
                <w:lang w:val="en-US" w:eastAsia="zh-CN"/>
              </w:rPr>
              <w:t>40</w:t>
            </w:r>
            <w:r>
              <w:rPr>
                <w:rFonts w:hint="eastAsia" w:ascii="宋体" w:hAnsi="宋体" w:eastAsia="宋体"/>
                <w:kern w:val="0"/>
                <w:szCs w:val="21"/>
              </w:rPr>
              <w:t>%。</w:t>
            </w:r>
            <w:r>
              <w:rPr>
                <w:rFonts w:hint="eastAsia" w:ascii="宋体" w:hAnsi="宋体" w:cs="宋体"/>
                <w:bCs/>
                <w:szCs w:val="21"/>
              </w:rPr>
              <w:t>每次</w:t>
            </w:r>
            <w:r>
              <w:rPr>
                <w:rFonts w:hint="eastAsia" w:ascii="宋体" w:hAnsi="宋体" w:cs="宋体"/>
                <w:bCs/>
                <w:szCs w:val="21"/>
                <w:lang w:eastAsia="zh-TW"/>
              </w:rPr>
              <w:t>按合同支付款项前，中标人</w:t>
            </w:r>
            <w:r>
              <w:rPr>
                <w:rFonts w:hint="eastAsia" w:ascii="宋体" w:hAnsi="宋体" w:cs="宋体"/>
                <w:bCs/>
                <w:szCs w:val="21"/>
              </w:rPr>
              <w:t>应</w:t>
            </w:r>
            <w:r>
              <w:rPr>
                <w:rFonts w:hint="eastAsia" w:ascii="宋体" w:hAnsi="宋体" w:cs="宋体"/>
                <w:bCs/>
                <w:szCs w:val="21"/>
                <w:lang w:eastAsia="zh-TW"/>
              </w:rPr>
              <w:t>向采购人提供与支付金额相符的有效发票，且收款方、出具发票方、合同乙方均必须与中标人名称一致</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4" w:type="dxa"/>
            <w:vMerge w:val="restart"/>
            <w:noWrap w:val="0"/>
            <w:vAlign w:val="center"/>
          </w:tcPr>
          <w:p>
            <w:pPr>
              <w:spacing w:line="360" w:lineRule="auto"/>
              <w:jc w:val="center"/>
              <w:rPr>
                <w:rFonts w:ascii="宋体" w:hAnsi="宋体" w:eastAsia="宋体"/>
                <w:b/>
                <w:szCs w:val="21"/>
              </w:rPr>
            </w:pPr>
            <w:r>
              <w:rPr>
                <w:rFonts w:hint="eastAsia" w:ascii="宋体" w:hAnsi="宋体" w:eastAsia="宋体"/>
                <w:b/>
                <w:szCs w:val="21"/>
              </w:rPr>
              <w:t>6</w:t>
            </w:r>
          </w:p>
        </w:tc>
        <w:tc>
          <w:tcPr>
            <w:tcW w:w="1620" w:type="dxa"/>
            <w:vMerge w:val="restart"/>
            <w:noWrap w:val="0"/>
            <w:vAlign w:val="center"/>
          </w:tcPr>
          <w:p>
            <w:pPr>
              <w:tabs>
                <w:tab w:val="left" w:pos="1260"/>
              </w:tabs>
              <w:spacing w:line="360" w:lineRule="auto"/>
              <w:jc w:val="center"/>
              <w:rPr>
                <w:rFonts w:ascii="宋体" w:hAnsi="宋体" w:eastAsia="宋体"/>
                <w:b/>
                <w:kern w:val="0"/>
                <w:szCs w:val="21"/>
              </w:rPr>
            </w:pPr>
            <w:r>
              <w:rPr>
                <w:rFonts w:hint="eastAsia" w:ascii="宋体" w:hAnsi="宋体" w:eastAsia="宋体"/>
                <w:b/>
                <w:kern w:val="0"/>
                <w:szCs w:val="21"/>
              </w:rPr>
              <w:t>违约责任</w:t>
            </w:r>
          </w:p>
        </w:tc>
        <w:tc>
          <w:tcPr>
            <w:tcW w:w="7559" w:type="dxa"/>
            <w:noWrap w:val="0"/>
            <w:vAlign w:val="top"/>
          </w:tcPr>
          <w:p>
            <w:pPr>
              <w:spacing w:line="360" w:lineRule="auto"/>
              <w:rPr>
                <w:rFonts w:ascii="宋体" w:hAnsi="宋体" w:eastAsia="宋体"/>
                <w:bCs/>
                <w:kern w:val="0"/>
                <w:szCs w:val="21"/>
              </w:rPr>
            </w:pPr>
            <w:r>
              <w:rPr>
                <w:rFonts w:hint="eastAsia" w:ascii="宋体" w:hAnsi="宋体" w:eastAsia="宋体"/>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kern w:val="0"/>
                <w:szCs w:val="21"/>
              </w:rPr>
            </w:pPr>
          </w:p>
        </w:tc>
        <w:tc>
          <w:tcPr>
            <w:tcW w:w="7559" w:type="dxa"/>
            <w:noWrap w:val="0"/>
            <w:vAlign w:val="top"/>
          </w:tcPr>
          <w:p>
            <w:pPr>
              <w:spacing w:line="360" w:lineRule="auto"/>
              <w:rPr>
                <w:rFonts w:ascii="宋体" w:hAnsi="宋体" w:eastAsia="宋体"/>
                <w:bCs/>
                <w:kern w:val="0"/>
                <w:szCs w:val="21"/>
              </w:rPr>
            </w:pPr>
            <w:r>
              <w:rPr>
                <w:rFonts w:hint="eastAsia" w:ascii="宋体" w:hAnsi="宋体" w:eastAsia="宋体"/>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宋体" w:hAnsi="宋体" w:eastAsia="宋体"/>
                <w:bCs/>
                <w:kern w:val="0"/>
                <w:szCs w:val="21"/>
                <w:u w:val="single"/>
              </w:rPr>
              <w:t xml:space="preserve">  十  </w:t>
            </w:r>
            <w:r>
              <w:rPr>
                <w:rFonts w:hint="eastAsia" w:ascii="宋体" w:hAnsi="宋体" w:eastAsia="宋体"/>
                <w:bCs/>
                <w:kern w:val="0"/>
                <w:szCs w:val="21"/>
              </w:rPr>
              <w:t>（千分之十以上千分之二十以下）的违约金；造成严重后果的，根据《</w:t>
            </w:r>
            <w:r>
              <w:rPr>
                <w:rFonts w:ascii="宋体" w:hAnsi="宋体" w:eastAsia="宋体"/>
                <w:bCs/>
                <w:kern w:val="0"/>
                <w:szCs w:val="21"/>
              </w:rPr>
              <w:t>深圳经济特区政府采购条例</w:t>
            </w:r>
            <w:r>
              <w:rPr>
                <w:rFonts w:hint="eastAsia" w:ascii="宋体" w:hAnsi="宋体" w:eastAsia="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kern w:val="0"/>
                <w:szCs w:val="21"/>
              </w:rPr>
            </w:pPr>
          </w:p>
        </w:tc>
        <w:tc>
          <w:tcPr>
            <w:tcW w:w="7559" w:type="dxa"/>
            <w:noWrap w:val="0"/>
            <w:vAlign w:val="top"/>
          </w:tcPr>
          <w:p>
            <w:pPr>
              <w:spacing w:line="360" w:lineRule="auto"/>
              <w:rPr>
                <w:rFonts w:ascii="宋体" w:hAnsi="宋体" w:eastAsia="宋体"/>
                <w:bCs/>
                <w:kern w:val="0"/>
                <w:szCs w:val="21"/>
              </w:rPr>
            </w:pPr>
            <w:r>
              <w:rPr>
                <w:rFonts w:hint="eastAsia" w:ascii="宋体" w:hAnsi="宋体" w:eastAsia="宋体"/>
                <w:bCs/>
                <w:kern w:val="0"/>
                <w:szCs w:val="21"/>
              </w:rPr>
              <w:t>6.3投标人不能交付设备的，投标人向采购人偿付项目采购金额千分之</w:t>
            </w:r>
            <w:r>
              <w:rPr>
                <w:rFonts w:hint="eastAsia" w:ascii="宋体" w:hAnsi="宋体" w:eastAsia="宋体"/>
                <w:bCs/>
                <w:kern w:val="0"/>
                <w:szCs w:val="21"/>
                <w:u w:val="single"/>
              </w:rPr>
              <w:t xml:space="preserve">  十 </w:t>
            </w:r>
            <w:r>
              <w:rPr>
                <w:rFonts w:hint="eastAsia" w:ascii="宋体" w:hAnsi="宋体" w:eastAsia="宋体"/>
                <w:bCs/>
                <w:kern w:val="0"/>
                <w:szCs w:val="21"/>
              </w:rPr>
              <w:t>（千分之十以上千分之二十以下）的违约金；造成严重后果的，根据《</w:t>
            </w:r>
            <w:r>
              <w:rPr>
                <w:rFonts w:ascii="宋体" w:hAnsi="宋体" w:eastAsia="宋体"/>
                <w:bCs/>
                <w:kern w:val="0"/>
                <w:szCs w:val="21"/>
              </w:rPr>
              <w:t>深圳经济特区政府采购条例</w:t>
            </w:r>
            <w:r>
              <w:rPr>
                <w:rFonts w:hint="eastAsia" w:ascii="宋体" w:hAnsi="宋体" w:eastAsia="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noWrap w:val="0"/>
            <w:vAlign w:val="center"/>
          </w:tcPr>
          <w:p>
            <w:pPr>
              <w:spacing w:line="360" w:lineRule="auto"/>
              <w:jc w:val="center"/>
              <w:rPr>
                <w:rFonts w:ascii="宋体" w:hAnsi="宋体" w:eastAsia="宋体"/>
                <w:b/>
                <w:szCs w:val="21"/>
              </w:rPr>
            </w:pPr>
          </w:p>
        </w:tc>
        <w:tc>
          <w:tcPr>
            <w:tcW w:w="1620" w:type="dxa"/>
            <w:vMerge w:val="continue"/>
            <w:noWrap w:val="0"/>
            <w:vAlign w:val="center"/>
          </w:tcPr>
          <w:p>
            <w:pPr>
              <w:spacing w:line="360" w:lineRule="auto"/>
              <w:jc w:val="center"/>
              <w:rPr>
                <w:rFonts w:ascii="宋体" w:hAnsi="宋体" w:eastAsia="宋体"/>
                <w:b/>
                <w:kern w:val="0"/>
                <w:szCs w:val="21"/>
              </w:rPr>
            </w:pPr>
          </w:p>
        </w:tc>
        <w:tc>
          <w:tcPr>
            <w:tcW w:w="7559" w:type="dxa"/>
            <w:noWrap w:val="0"/>
            <w:vAlign w:val="top"/>
          </w:tcPr>
          <w:p>
            <w:pPr>
              <w:spacing w:line="360" w:lineRule="auto"/>
              <w:rPr>
                <w:rFonts w:ascii="宋体" w:hAnsi="宋体" w:eastAsia="宋体"/>
                <w:bCs/>
                <w:kern w:val="0"/>
                <w:szCs w:val="21"/>
              </w:rPr>
            </w:pPr>
            <w:r>
              <w:rPr>
                <w:rFonts w:hint="eastAsia" w:ascii="宋体" w:hAnsi="宋体" w:eastAsia="宋体"/>
                <w:bCs/>
                <w:kern w:val="0"/>
                <w:szCs w:val="21"/>
              </w:rPr>
              <w:t>6.4投标人逾期未交设备的，投标人向采购人每日偿付设备款千分之</w:t>
            </w:r>
            <w:r>
              <w:rPr>
                <w:rFonts w:hint="eastAsia" w:ascii="宋体" w:hAnsi="宋体" w:eastAsia="宋体"/>
                <w:bCs/>
                <w:kern w:val="0"/>
                <w:szCs w:val="21"/>
                <w:u w:val="single"/>
              </w:rPr>
              <w:t xml:space="preserve">  五  </w:t>
            </w:r>
            <w:r>
              <w:rPr>
                <w:rFonts w:hint="eastAsia" w:ascii="宋体" w:hAnsi="宋体" w:eastAsia="宋体"/>
                <w:bCs/>
                <w:kern w:val="0"/>
                <w:szCs w:val="21"/>
              </w:rPr>
              <w:t>的违约金。投标人超过交货期限</w:t>
            </w:r>
            <w:r>
              <w:rPr>
                <w:rFonts w:hint="eastAsia" w:ascii="宋体" w:hAnsi="宋体" w:eastAsia="宋体"/>
                <w:bCs/>
                <w:kern w:val="0"/>
                <w:szCs w:val="21"/>
                <w:u w:val="single"/>
              </w:rPr>
              <w:t xml:space="preserve"> 30 </w:t>
            </w:r>
            <w:r>
              <w:rPr>
                <w:rFonts w:hint="eastAsia" w:ascii="宋体" w:hAnsi="宋体" w:eastAsia="宋体"/>
                <w:bCs/>
                <w:kern w:val="0"/>
                <w:szCs w:val="21"/>
              </w:rPr>
              <w:t>（天）日历日仍未交货的，采购人有权解除合同。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noWrap w:val="0"/>
            <w:vAlign w:val="center"/>
          </w:tcPr>
          <w:p>
            <w:pPr>
              <w:spacing w:line="360" w:lineRule="auto"/>
              <w:jc w:val="center"/>
              <w:rPr>
                <w:rFonts w:ascii="宋体" w:hAnsi="宋体" w:eastAsia="宋体"/>
                <w:b/>
                <w:szCs w:val="21"/>
              </w:rPr>
            </w:pPr>
            <w:r>
              <w:rPr>
                <w:rFonts w:hint="eastAsia" w:ascii="宋体" w:hAnsi="宋体" w:eastAsia="宋体"/>
                <w:b/>
                <w:szCs w:val="21"/>
              </w:rPr>
              <w:t>7</w:t>
            </w:r>
          </w:p>
        </w:tc>
        <w:tc>
          <w:tcPr>
            <w:tcW w:w="1620" w:type="dxa"/>
            <w:vMerge w:val="restart"/>
            <w:noWrap w:val="0"/>
            <w:vAlign w:val="center"/>
          </w:tcPr>
          <w:p>
            <w:pPr>
              <w:spacing w:line="360" w:lineRule="auto"/>
              <w:jc w:val="center"/>
              <w:rPr>
                <w:rFonts w:ascii="宋体" w:hAnsi="宋体" w:eastAsia="宋体"/>
                <w:b/>
                <w:kern w:val="0"/>
                <w:szCs w:val="21"/>
              </w:rPr>
            </w:pPr>
            <w:r>
              <w:rPr>
                <w:rFonts w:hint="eastAsia" w:ascii="宋体" w:hAnsi="宋体" w:eastAsia="宋体"/>
                <w:b/>
                <w:kern w:val="0"/>
                <w:szCs w:val="21"/>
              </w:rPr>
              <w:t>其他</w:t>
            </w:r>
          </w:p>
        </w:tc>
        <w:tc>
          <w:tcPr>
            <w:tcW w:w="7559" w:type="dxa"/>
            <w:noWrap w:val="0"/>
            <w:vAlign w:val="center"/>
          </w:tcPr>
          <w:p>
            <w:pPr>
              <w:spacing w:line="360" w:lineRule="auto"/>
              <w:rPr>
                <w:rFonts w:ascii="宋体" w:hAnsi="宋体" w:eastAsia="宋体"/>
                <w:b/>
                <w:szCs w:val="21"/>
              </w:rPr>
            </w:pPr>
            <w:r>
              <w:rPr>
                <w:rFonts w:hint="eastAsia" w:ascii="宋体" w:hAnsi="宋体" w:eastAsia="宋体"/>
                <w:bCs/>
                <w:szCs w:val="21"/>
              </w:rPr>
              <w:t>7.1投标人应按其投标文件中的承诺，进行其他售后服务工作。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noWrap w:val="0"/>
            <w:vAlign w:val="center"/>
          </w:tcPr>
          <w:p>
            <w:pPr>
              <w:spacing w:line="360" w:lineRule="auto"/>
              <w:jc w:val="center"/>
              <w:rPr>
                <w:rFonts w:hint="eastAsia" w:ascii="宋体" w:hAnsi="宋体" w:eastAsia="宋体"/>
                <w:b/>
                <w:szCs w:val="21"/>
              </w:rPr>
            </w:pPr>
          </w:p>
        </w:tc>
        <w:tc>
          <w:tcPr>
            <w:tcW w:w="1620" w:type="dxa"/>
            <w:vMerge w:val="continue"/>
            <w:noWrap w:val="0"/>
            <w:vAlign w:val="center"/>
          </w:tcPr>
          <w:p>
            <w:pPr>
              <w:spacing w:line="360" w:lineRule="auto"/>
              <w:jc w:val="center"/>
              <w:rPr>
                <w:rFonts w:hint="eastAsia" w:ascii="宋体" w:hAnsi="宋体" w:eastAsia="宋体"/>
                <w:b/>
                <w:kern w:val="0"/>
                <w:szCs w:val="21"/>
              </w:rPr>
            </w:pPr>
          </w:p>
        </w:tc>
        <w:tc>
          <w:tcPr>
            <w:tcW w:w="7559" w:type="dxa"/>
            <w:noWrap w:val="0"/>
            <w:vAlign w:val="center"/>
          </w:tcPr>
          <w:p>
            <w:pPr>
              <w:spacing w:line="360" w:lineRule="auto"/>
              <w:rPr>
                <w:rFonts w:hint="default" w:ascii="宋体" w:hAnsi="宋体" w:eastAsia="宋体"/>
                <w:bCs/>
                <w:szCs w:val="21"/>
                <w:lang w:val="en-US" w:eastAsia="zh-CN"/>
              </w:rPr>
            </w:pPr>
            <w:r>
              <w:rPr>
                <w:rFonts w:hint="eastAsia" w:ascii="宋体" w:hAnsi="宋体" w:eastAsia="宋体"/>
                <w:b/>
                <w:bCs/>
                <w:kern w:val="0"/>
                <w:szCs w:val="21"/>
                <w:highlight w:val="yellow"/>
              </w:rPr>
              <w:t>★</w:t>
            </w:r>
            <w:r>
              <w:rPr>
                <w:rFonts w:hint="eastAsia" w:ascii="宋体" w:hAnsi="宋体" w:eastAsia="宋体"/>
                <w:b/>
                <w:bCs/>
                <w:szCs w:val="21"/>
                <w:highlight w:val="yellow"/>
                <w:lang w:val="en-US" w:eastAsia="zh-CN"/>
              </w:rPr>
              <w:t>7.2如突发应急事件，投标人必须指派专业工程师跟随采购人执行任务进行配套服务。</w:t>
            </w:r>
          </w:p>
        </w:tc>
      </w:tr>
    </w:tbl>
    <w:p/>
    <w:p/>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pPr>
      <w:bookmarkStart w:id="2" w:name="_Toc135293322"/>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Pr>
        <w:pStyle w:val="2"/>
      </w:pPr>
      <w:bookmarkStart w:id="3" w:name="_Toc135293323"/>
      <w:r>
        <w:rPr>
          <w:rFonts w:hint="eastAsia"/>
        </w:rPr>
        <w:t>第四章  评标方法和标准</w:t>
      </w:r>
      <w:bookmarkEnd w:id="3"/>
    </w:p>
    <w:p>
      <w:pPr>
        <w:pStyle w:val="4"/>
        <w:spacing w:before="0" w:after="0"/>
      </w:pPr>
      <w:bookmarkStart w:id="4" w:name="_Toc44690702"/>
      <w:bookmarkStart w:id="5" w:name="_Toc44691393"/>
      <w:bookmarkStart w:id="6" w:name="_Toc135293324"/>
      <w:bookmarkStart w:id="7" w:name="_Toc44691161"/>
      <w:bookmarkStart w:id="8" w:name="_Toc44690429"/>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35293325"/>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noWrap w:val="0"/>
            <w:vAlign w:val="center"/>
          </w:tcPr>
          <w:p>
            <w:pPr>
              <w:autoSpaceDE w:val="0"/>
              <w:autoSpaceDN w:val="0"/>
              <w:adjustRightInd w:val="0"/>
              <w:spacing w:line="360" w:lineRule="exact"/>
              <w:jc w:val="center"/>
              <w:rPr>
                <w:rFonts w:ascii="宋体" w:hAnsi="宋体" w:cs="仿宋"/>
                <w:b/>
                <w:szCs w:val="21"/>
                <w:lang w:val="zh-CN"/>
              </w:rPr>
            </w:pPr>
            <w:bookmarkStart w:id="10" w:name="_Toc44691162"/>
            <w:bookmarkStart w:id="11" w:name="_Toc44690430"/>
            <w:bookmarkStart w:id="12" w:name="_Toc135293326"/>
            <w:bookmarkStart w:id="13" w:name="_Toc44691394"/>
            <w:bookmarkStart w:id="14" w:name="_Toc44690703"/>
            <w:r>
              <w:rPr>
                <w:rFonts w:hint="eastAsia" w:ascii="宋体" w:hAnsi="宋体" w:cs="仿宋"/>
                <w:b/>
                <w:szCs w:val="21"/>
                <w:lang w:val="zh-CN"/>
              </w:rPr>
              <w:t>评分项及评分规则</w:t>
            </w:r>
          </w:p>
        </w:tc>
        <w:tc>
          <w:tcPr>
            <w:tcW w:w="1187" w:type="dxa"/>
            <w:noWrap w:val="0"/>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noWrap w:val="0"/>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noWrap w:val="0"/>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noWrap w:val="0"/>
            <w:vAlign w:val="center"/>
          </w:tcPr>
          <w:p>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exact"/>
              <w:jc w:val="left"/>
              <w:rPr>
                <w:rFonts w:ascii="宋体" w:hAnsi="宋体"/>
                <w:b/>
                <w:bCs/>
                <w:snapToGrid w:val="0"/>
                <w:kern w:val="0"/>
              </w:rPr>
            </w:pPr>
            <w:r>
              <w:rPr>
                <w:rFonts w:hint="eastAsia" w:ascii="宋体" w:hAnsi="宋体"/>
                <w:snapToGrid w:val="0"/>
                <w:kern w:val="0"/>
                <w:szCs w:val="21"/>
              </w:rPr>
              <w:t>2、投标报价得分四舍五入后，小数点后保留两位有效数</w:t>
            </w:r>
            <w:r>
              <w:rPr>
                <w:rFonts w:hint="eastAsia" w:ascii="宋体" w:hAnsi="宋体"/>
                <w:bCs/>
                <w:snapToGrid w:val="0"/>
                <w:kern w:val="0"/>
                <w:szCs w:val="21"/>
              </w:rPr>
              <w:t>。</w:t>
            </w:r>
          </w:p>
        </w:tc>
        <w:tc>
          <w:tcPr>
            <w:tcW w:w="1187"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noWrap w:val="0"/>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noWrap w:val="0"/>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4"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noWrap w:val="0"/>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noWrap w:val="0"/>
            <w:vAlign w:val="center"/>
          </w:tcPr>
          <w:p>
            <w:pPr>
              <w:widowControl/>
              <w:spacing w:line="360" w:lineRule="exact"/>
              <w:jc w:val="center"/>
              <w:rPr>
                <w:rFonts w:ascii="宋体" w:hAnsi="宋体" w:cs="仿宋"/>
                <w:kern w:val="0"/>
                <w:szCs w:val="21"/>
              </w:rPr>
            </w:pPr>
            <w:r>
              <w:rPr>
                <w:rFonts w:hint="eastAsia" w:ascii="宋体" w:hAnsi="宋体" w:cs="仿宋"/>
                <w:kern w:val="0"/>
                <w:szCs w:val="21"/>
                <w:lang w:val="en-US" w:eastAsia="zh-CN"/>
              </w:rPr>
              <w:t>45</w:t>
            </w:r>
          </w:p>
        </w:tc>
        <w:tc>
          <w:tcPr>
            <w:tcW w:w="5953" w:type="dxa"/>
            <w:noWrap w:val="0"/>
            <w:vAlign w:val="center"/>
          </w:tcPr>
          <w:p>
            <w:pPr>
              <w:spacing w:line="360" w:lineRule="exact"/>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w:t>
            </w:r>
            <w:r>
              <w:rPr>
                <w:rFonts w:hint="eastAsia" w:ascii="宋体" w:hAnsi="宋体" w:cs="仿宋"/>
                <w:szCs w:val="21"/>
                <w:lang w:val="en-US" w:eastAsia="zh-CN"/>
              </w:rPr>
              <w:t>45</w:t>
            </w:r>
            <w:r>
              <w:rPr>
                <w:rFonts w:hint="eastAsia" w:ascii="宋体" w:hAnsi="宋体" w:cs="仿宋"/>
                <w:szCs w:val="21"/>
              </w:rPr>
              <w:t>分；“▲”参数为重要指标，每负偏离一项扣</w:t>
            </w:r>
            <w:r>
              <w:rPr>
                <w:rFonts w:hint="eastAsia" w:ascii="宋体" w:hAnsi="宋体" w:cs="仿宋"/>
                <w:szCs w:val="21"/>
                <w:lang w:val="en-US" w:eastAsia="zh-CN"/>
              </w:rPr>
              <w:t>1.4</w:t>
            </w:r>
            <w:r>
              <w:rPr>
                <w:rFonts w:hint="eastAsia" w:ascii="宋体" w:hAnsi="宋体" w:cs="仿宋"/>
                <w:szCs w:val="21"/>
              </w:rPr>
              <w:t>分；其余指标每负偏离一项扣</w:t>
            </w:r>
            <w:r>
              <w:rPr>
                <w:rFonts w:hint="eastAsia" w:ascii="宋体" w:hAnsi="宋体" w:cs="仿宋"/>
                <w:szCs w:val="21"/>
                <w:lang w:val="en-US" w:eastAsia="zh-CN"/>
              </w:rPr>
              <w:t>0.4</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。技术要求中包含子项参数的，按子项参数响应情况逐项评分。</w:t>
            </w:r>
          </w:p>
          <w:p>
            <w:pPr>
              <w:autoSpaceDE w:val="0"/>
              <w:autoSpaceDN w:val="0"/>
              <w:adjustRightInd w:val="0"/>
              <w:spacing w:line="360" w:lineRule="exact"/>
              <w:jc w:val="left"/>
              <w:rPr>
                <w:rFonts w:hint="eastAsia"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3" w:hRule="atLeast"/>
          <w:jc w:val="center"/>
        </w:trPr>
        <w:tc>
          <w:tcPr>
            <w:tcW w:w="754" w:type="dxa"/>
            <w:noWrap w:val="0"/>
            <w:vAlign w:val="center"/>
          </w:tcPr>
          <w:p>
            <w:pPr>
              <w:widowControl/>
              <w:snapToGrid w:val="0"/>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2</w:t>
            </w:r>
          </w:p>
        </w:tc>
        <w:tc>
          <w:tcPr>
            <w:tcW w:w="1143" w:type="dxa"/>
            <w:noWrap w:val="0"/>
            <w:vAlign w:val="center"/>
          </w:tcPr>
          <w:p>
            <w:pPr>
              <w:widowControl/>
              <w:spacing w:line="360" w:lineRule="exact"/>
              <w:jc w:val="center"/>
              <w:rPr>
                <w:rFonts w:ascii="宋体" w:hAnsi="宋体" w:cs="宋体"/>
                <w:szCs w:val="21"/>
              </w:rPr>
            </w:pPr>
            <w:r>
              <w:rPr>
                <w:rFonts w:hint="eastAsia" w:ascii="Times New Roman" w:hAnsi="Times New Roman"/>
              </w:rPr>
              <w:t>售后服务方案</w:t>
            </w:r>
          </w:p>
        </w:tc>
        <w:tc>
          <w:tcPr>
            <w:tcW w:w="709" w:type="dxa"/>
            <w:noWrap w:val="0"/>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5953" w:type="dxa"/>
            <w:noWrap w:val="0"/>
            <w:vAlign w:val="center"/>
          </w:tcPr>
          <w:p>
            <w:pPr>
              <w:spacing w:line="360" w:lineRule="exact"/>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仿宋"/>
                <w:szCs w:val="21"/>
              </w:rPr>
              <w:t>投标人根据本项目的需求制定</w:t>
            </w:r>
            <w:r>
              <w:rPr>
                <w:rFonts w:hint="eastAsia" w:ascii="Times New Roman" w:hAnsi="Times New Roman"/>
              </w:rPr>
              <w:t>售后服务方案</w:t>
            </w:r>
            <w:r>
              <w:rPr>
                <w:rFonts w:hint="eastAsia" w:ascii="宋体" w:hAnsi="宋体" w:cs="仿宋"/>
                <w:szCs w:val="21"/>
              </w:rPr>
              <w:t>（包括但不限于售后服务机构及维护人员配置、技术培训方案、故障响应时间及</w:t>
            </w:r>
            <w:r>
              <w:rPr>
                <w:rFonts w:hint="eastAsia" w:ascii="宋体" w:hAnsi="宋体"/>
                <w:szCs w:val="21"/>
              </w:rPr>
              <w:t>备品备件</w:t>
            </w:r>
            <w:r>
              <w:rPr>
                <w:rFonts w:hint="eastAsia" w:ascii="宋体" w:hAnsi="宋体"/>
              </w:rPr>
              <w:t>支持计划</w:t>
            </w:r>
            <w:r>
              <w:rPr>
                <w:rFonts w:hint="eastAsia" w:ascii="宋体" w:hAnsi="宋体" w:cs="仿宋"/>
                <w:szCs w:val="21"/>
              </w:rPr>
              <w:t>），根据响应情况进行评审：</w:t>
            </w:r>
          </w:p>
          <w:p>
            <w:pPr>
              <w:widowControl/>
              <w:spacing w:line="360" w:lineRule="exact"/>
              <w:rPr>
                <w:rFonts w:ascii="宋体" w:hAnsi="宋体" w:cs="仿宋"/>
                <w:szCs w:val="21"/>
              </w:rPr>
            </w:pPr>
            <w:r>
              <w:rPr>
                <w:rFonts w:hint="eastAsia" w:ascii="宋体" w:hAnsi="宋体" w:cs="仿宋"/>
                <w:szCs w:val="21"/>
              </w:rPr>
              <w:t>（1）</w:t>
            </w:r>
            <w:r>
              <w:rPr>
                <w:rFonts w:hint="eastAsia" w:ascii="Times New Roman" w:hAnsi="Times New Roman"/>
              </w:rPr>
              <w:t>售后</w:t>
            </w:r>
            <w:r>
              <w:rPr>
                <w:rFonts w:hint="eastAsia" w:ascii="宋体" w:hAnsi="宋体" w:cs="仿宋"/>
                <w:szCs w:val="21"/>
              </w:rPr>
              <w:t>服务机构及维护人员配置合理；</w:t>
            </w:r>
          </w:p>
          <w:p>
            <w:pPr>
              <w:widowControl/>
              <w:spacing w:line="360" w:lineRule="exact"/>
              <w:rPr>
                <w:rFonts w:ascii="宋体" w:hAnsi="宋体" w:cs="仿宋"/>
                <w:szCs w:val="21"/>
              </w:rPr>
            </w:pPr>
            <w:r>
              <w:rPr>
                <w:rFonts w:hint="eastAsia" w:ascii="宋体" w:hAnsi="宋体" w:cs="仿宋"/>
                <w:szCs w:val="21"/>
              </w:rPr>
              <w:t>（2）</w:t>
            </w:r>
            <w:r>
              <w:rPr>
                <w:rFonts w:hint="eastAsia" w:ascii="Times New Roman" w:hAnsi="Times New Roman"/>
              </w:rPr>
              <w:t>故障响应时间满足项目</w:t>
            </w:r>
            <w:r>
              <w:rPr>
                <w:rFonts w:hint="eastAsia" w:ascii="宋体" w:hAnsi="宋体" w:cs="仿宋"/>
                <w:szCs w:val="21"/>
              </w:rPr>
              <w:t>需求；</w:t>
            </w:r>
          </w:p>
          <w:p>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支持计划内容具体，可行性高</w:t>
            </w:r>
            <w:r>
              <w:rPr>
                <w:rFonts w:hint="eastAsia" w:ascii="宋体" w:hAnsi="宋体" w:cs="仿宋"/>
                <w:szCs w:val="21"/>
              </w:rPr>
              <w:t>。</w:t>
            </w:r>
          </w:p>
          <w:p>
            <w:pPr>
              <w:autoSpaceDE w:val="0"/>
              <w:autoSpaceDN w:val="0"/>
              <w:adjustRightInd w:val="0"/>
              <w:spacing w:line="360" w:lineRule="exact"/>
              <w:jc w:val="left"/>
              <w:rPr>
                <w:rFonts w:hint="eastAsia"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rPr>
                <w:rFonts w:ascii="宋体" w:hAnsi="宋体"/>
                <w:szCs w:val="21"/>
              </w:rPr>
            </w:pPr>
            <w:r>
              <w:rPr>
                <w:rFonts w:hint="eastAsia" w:ascii="宋体" w:hAnsi="宋体" w:cs="仿宋"/>
                <w:szCs w:val="21"/>
              </w:rPr>
              <w:t>满足以上三项要求得</w:t>
            </w:r>
            <w:r>
              <w:rPr>
                <w:rFonts w:hint="eastAsia" w:ascii="宋体" w:hAnsi="宋体" w:cs="仿宋"/>
                <w:szCs w:val="21"/>
                <w:lang w:val="en-US" w:eastAsia="zh-CN"/>
              </w:rPr>
              <w:t>10</w:t>
            </w:r>
            <w:r>
              <w:rPr>
                <w:rFonts w:hint="eastAsia" w:ascii="宋体" w:hAnsi="宋体" w:cs="仿宋"/>
                <w:szCs w:val="21"/>
              </w:rPr>
              <w:t>分，满足以上两项要求得</w:t>
            </w:r>
            <w:r>
              <w:rPr>
                <w:rFonts w:hint="eastAsia" w:ascii="宋体" w:hAnsi="宋体" w:cs="仿宋"/>
                <w:szCs w:val="21"/>
                <w:lang w:val="en-US" w:eastAsia="zh-CN"/>
              </w:rPr>
              <w:t>6</w:t>
            </w:r>
            <w:r>
              <w:rPr>
                <w:rFonts w:hint="eastAsia" w:ascii="宋体" w:hAnsi="宋体" w:cs="仿宋"/>
                <w:szCs w:val="21"/>
              </w:rPr>
              <w:t>分，满足以上一项要求得</w:t>
            </w:r>
            <w:r>
              <w:rPr>
                <w:rFonts w:hint="eastAsia" w:ascii="宋体" w:hAnsi="宋体" w:cs="仿宋"/>
                <w:szCs w:val="21"/>
                <w:lang w:val="en-US" w:eastAsia="zh-CN"/>
              </w:rPr>
              <w:t>3</w:t>
            </w:r>
            <w:r>
              <w:rPr>
                <w:rFonts w:hint="eastAsia" w:ascii="宋体" w:hAnsi="宋体" w:cs="仿宋"/>
                <w:szCs w:val="21"/>
              </w:rPr>
              <w:t>分，其它情况不得分。</w:t>
            </w:r>
          </w:p>
        </w:tc>
        <w:tc>
          <w:tcPr>
            <w:tcW w:w="1187" w:type="dxa"/>
            <w:noWrap w:val="0"/>
            <w:vAlign w:val="center"/>
          </w:tcPr>
          <w:p>
            <w:pPr>
              <w:spacing w:line="360" w:lineRule="exact"/>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noWrap w:val="0"/>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noWrap w:val="0"/>
            <w:vAlign w:val="center"/>
          </w:tcPr>
          <w:p>
            <w:pPr>
              <w:autoSpaceDE w:val="0"/>
              <w:autoSpaceDN w:val="0"/>
              <w:adjustRightInd w:val="0"/>
              <w:spacing w:line="360" w:lineRule="exact"/>
              <w:jc w:val="center"/>
              <w:rPr>
                <w:rFonts w:hint="eastAsia" w:ascii="宋体" w:hAnsi="宋体" w:eastAsia="宋体" w:cs="仿宋"/>
                <w:b/>
                <w:szCs w:val="21"/>
                <w:lang w:val="en-US" w:eastAsia="zh-CN"/>
              </w:rPr>
            </w:pPr>
            <w:r>
              <w:rPr>
                <w:rFonts w:hint="eastAsia" w:ascii="宋体" w:hAnsi="宋体" w:cs="仿宋"/>
                <w:b/>
                <w:szCs w:val="21"/>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noWrap w:val="0"/>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noWrap w:val="0"/>
            <w:vAlign w:val="center"/>
          </w:tcPr>
          <w:p>
            <w:pPr>
              <w:widowControl/>
              <w:spacing w:line="360" w:lineRule="exact"/>
              <w:jc w:val="center"/>
              <w:rPr>
                <w:rFonts w:ascii="宋体" w:hAnsi="宋体" w:cs="仿宋"/>
                <w:kern w:val="0"/>
                <w:szCs w:val="21"/>
              </w:rPr>
            </w:pPr>
            <w:r>
              <w:rPr>
                <w:rFonts w:hint="eastAsia" w:ascii="宋体" w:hAnsi="宋体" w:cs="宋体"/>
                <w:kern w:val="0"/>
                <w:szCs w:val="21"/>
              </w:rPr>
              <w:t>免费保修期内售后服务条款偏离情况</w:t>
            </w:r>
          </w:p>
        </w:tc>
        <w:tc>
          <w:tcPr>
            <w:tcW w:w="709" w:type="dxa"/>
            <w:noWrap w:val="0"/>
            <w:vAlign w:val="center"/>
          </w:tcPr>
          <w:p>
            <w:pPr>
              <w:widowControl/>
              <w:spacing w:line="360" w:lineRule="exact"/>
              <w:jc w:val="center"/>
              <w:rPr>
                <w:rFonts w:ascii="宋体" w:hAnsi="宋体" w:cs="仿宋"/>
                <w:kern w:val="0"/>
                <w:szCs w:val="21"/>
              </w:rPr>
            </w:pPr>
            <w:r>
              <w:rPr>
                <w:rFonts w:ascii="宋体" w:hAnsi="宋体" w:cs="仿宋"/>
                <w:kern w:val="0"/>
                <w:szCs w:val="21"/>
              </w:rPr>
              <w:t>3</w:t>
            </w:r>
          </w:p>
        </w:tc>
        <w:tc>
          <w:tcPr>
            <w:tcW w:w="5953" w:type="dxa"/>
            <w:noWrap w:val="0"/>
            <w:vAlign w:val="center"/>
          </w:tcPr>
          <w:p>
            <w:pPr>
              <w:autoSpaceDE w:val="0"/>
              <w:autoSpaceDN w:val="0"/>
              <w:adjustRightInd w:val="0"/>
              <w:spacing w:line="360" w:lineRule="exact"/>
              <w:jc w:val="left"/>
              <w:rPr>
                <w:rFonts w:ascii="宋体" w:hAnsi="宋体" w:cs="仿宋"/>
                <w:szCs w:val="21"/>
                <w:lang w:val="zh-CN"/>
              </w:rPr>
            </w:pPr>
            <w:r>
              <w:rPr>
                <w:rFonts w:hint="eastAsia" w:ascii="宋体" w:hAnsi="宋体" w:cs="仿宋"/>
                <w:szCs w:val="21"/>
              </w:rPr>
              <w:t>投标人应如实填写《商务条款偏离表》，评审委员会根据其中免费保修期内售后服务条款响应情况进行打分。全部满足</w:t>
            </w:r>
            <w:r>
              <w:rPr>
                <w:rFonts w:hint="eastAsia" w:ascii="宋体" w:hAnsi="宋体" w:cs="仿宋"/>
                <w:szCs w:val="21"/>
                <w:lang w:val="en-US" w:eastAsia="zh-CN"/>
              </w:rPr>
              <w:t>要求</w:t>
            </w:r>
            <w:r>
              <w:rPr>
                <w:rFonts w:hint="eastAsia" w:ascii="宋体" w:hAnsi="宋体" w:cs="仿宋"/>
                <w:szCs w:val="21"/>
              </w:rPr>
              <w:t>的得</w:t>
            </w:r>
            <w:r>
              <w:rPr>
                <w:rFonts w:hint="eastAsia" w:ascii="宋体" w:hAnsi="宋体" w:cs="仿宋"/>
                <w:szCs w:val="21"/>
                <w:lang w:val="en-US" w:eastAsia="zh-CN"/>
              </w:rPr>
              <w:t>3</w:t>
            </w:r>
            <w:r>
              <w:rPr>
                <w:rFonts w:hint="eastAsia" w:ascii="宋体" w:hAnsi="宋体" w:cs="仿宋"/>
                <w:szCs w:val="21"/>
              </w:rPr>
              <w:t>分，否则不得分。</w:t>
            </w:r>
          </w:p>
        </w:tc>
        <w:tc>
          <w:tcPr>
            <w:tcW w:w="1187"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2"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免费保修期外售后服务条款偏离情况</w:t>
            </w:r>
          </w:p>
        </w:tc>
        <w:tc>
          <w:tcPr>
            <w:tcW w:w="709" w:type="dxa"/>
            <w:noWrap w:val="0"/>
            <w:vAlign w:val="center"/>
          </w:tcPr>
          <w:p>
            <w:pPr>
              <w:widowControl/>
              <w:spacing w:line="360" w:lineRule="exact"/>
              <w:jc w:val="center"/>
              <w:rPr>
                <w:rFonts w:ascii="宋体" w:hAnsi="宋体" w:cs="仿宋"/>
                <w:szCs w:val="21"/>
              </w:rPr>
            </w:pPr>
            <w:r>
              <w:rPr>
                <w:rFonts w:ascii="宋体" w:hAnsi="宋体" w:cs="仿宋"/>
                <w:szCs w:val="21"/>
              </w:rPr>
              <w:t>2</w:t>
            </w:r>
          </w:p>
        </w:tc>
        <w:tc>
          <w:tcPr>
            <w:tcW w:w="5953" w:type="dxa"/>
            <w:noWrap w:val="0"/>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投标人应如实填写《商务条款偏离表》，评审委员会根据其中免费保修期外售后服务条款响应情况进行打分。全部满足要求的得</w:t>
            </w:r>
            <w:r>
              <w:rPr>
                <w:rFonts w:ascii="宋体" w:hAnsi="宋体" w:cs="宋体"/>
                <w:kern w:val="0"/>
                <w:szCs w:val="21"/>
              </w:rPr>
              <w:t>2</w:t>
            </w:r>
            <w:r>
              <w:rPr>
                <w:rFonts w:hint="eastAsia" w:ascii="宋体" w:hAnsi="宋体" w:cs="宋体"/>
                <w:kern w:val="0"/>
                <w:szCs w:val="21"/>
              </w:rPr>
              <w:t>分，</w:t>
            </w:r>
            <w:r>
              <w:rPr>
                <w:rFonts w:hint="eastAsia" w:ascii="宋体" w:hAnsi="宋体" w:cs="宋体"/>
                <w:szCs w:val="21"/>
              </w:rPr>
              <w:t>每1小项负偏离</w:t>
            </w:r>
            <w:r>
              <w:rPr>
                <w:rFonts w:hint="eastAsia" w:ascii="宋体" w:hAnsi="宋体" w:cs="宋体"/>
                <w:kern w:val="0"/>
                <w:szCs w:val="21"/>
              </w:rPr>
              <w:t>扣1分，</w:t>
            </w:r>
            <w:r>
              <w:rPr>
                <w:rFonts w:hint="eastAsia" w:ascii="宋体" w:hAnsi="宋体" w:cs="仿宋"/>
                <w:szCs w:val="21"/>
              </w:rPr>
              <w:t>最低得0分</w:t>
            </w:r>
            <w:r>
              <w:rPr>
                <w:rFonts w:hint="eastAsia" w:ascii="宋体" w:hAnsi="宋体" w:cs="宋体"/>
                <w:kern w:val="0"/>
                <w:szCs w:val="21"/>
              </w:rPr>
              <w:t>。</w:t>
            </w:r>
          </w:p>
        </w:tc>
        <w:tc>
          <w:tcPr>
            <w:tcW w:w="1187"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noWrap w:val="0"/>
            <w:vAlign w:val="center"/>
          </w:tcPr>
          <w:p>
            <w:pPr>
              <w:spacing w:line="360" w:lineRule="exact"/>
              <w:jc w:val="center"/>
              <w:rPr>
                <w:rFonts w:ascii="宋体" w:hAnsi="宋体" w:cs="仿宋"/>
                <w:szCs w:val="21"/>
              </w:rPr>
            </w:pPr>
            <w:r>
              <w:rPr>
                <w:rFonts w:hint="eastAsia" w:ascii="Times New Roman" w:hAnsi="Times New Roman"/>
              </w:rPr>
              <w:t>其他商务条款偏离情况</w:t>
            </w:r>
          </w:p>
        </w:tc>
        <w:tc>
          <w:tcPr>
            <w:tcW w:w="709" w:type="dxa"/>
            <w:noWrap w:val="0"/>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noWrap w:val="0"/>
            <w:vAlign w:val="center"/>
          </w:tcPr>
          <w:p>
            <w:pPr>
              <w:widowControl/>
              <w:spacing w:line="360" w:lineRule="exact"/>
              <w:rPr>
                <w:rFonts w:ascii="宋体" w:hAnsi="宋体" w:cs="仿宋"/>
                <w:szCs w:val="21"/>
              </w:rPr>
            </w:pPr>
            <w:r>
              <w:rPr>
                <w:rFonts w:hint="eastAsia" w:ascii="宋体" w:hAnsi="宋体" w:cs="仿宋"/>
                <w:szCs w:val="21"/>
              </w:rPr>
              <w:t>投标人应如实填写《商务条款偏离表》，评审委员会根据其中其他商务条款响应情况进行打分。全部满足要求的得2分，</w:t>
            </w:r>
            <w:r>
              <w:rPr>
                <w:rFonts w:hint="eastAsia" w:ascii="宋体" w:hAnsi="宋体" w:cs="宋体"/>
                <w:szCs w:val="21"/>
              </w:rPr>
              <w:t>每1小项负偏离</w:t>
            </w:r>
            <w:r>
              <w:rPr>
                <w:rFonts w:hint="eastAsia" w:ascii="宋体" w:hAnsi="宋体" w:cs="仿宋"/>
                <w:szCs w:val="21"/>
              </w:rPr>
              <w:t>扣</w:t>
            </w:r>
            <w:r>
              <w:rPr>
                <w:rFonts w:ascii="宋体" w:hAnsi="宋体" w:cs="仿宋"/>
                <w:szCs w:val="21"/>
              </w:rPr>
              <w:t>1</w:t>
            </w:r>
            <w:r>
              <w:rPr>
                <w:rFonts w:hint="eastAsia" w:ascii="宋体" w:hAnsi="宋体" w:cs="仿宋"/>
                <w:szCs w:val="21"/>
              </w:rPr>
              <w:t>分，最低得0分。</w:t>
            </w:r>
          </w:p>
        </w:tc>
        <w:tc>
          <w:tcPr>
            <w:tcW w:w="1187" w:type="dxa"/>
            <w:noWrap w:val="0"/>
            <w:vAlign w:val="center"/>
          </w:tcPr>
          <w:p>
            <w:pPr>
              <w:spacing w:line="360" w:lineRule="exact"/>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noWrap w:val="0"/>
            <w:vAlign w:val="center"/>
          </w:tcPr>
          <w:p>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noWrap w:val="0"/>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noWrap w:val="0"/>
            <w:vAlign w:val="center"/>
          </w:tcPr>
          <w:p>
            <w:pPr>
              <w:spacing w:line="360" w:lineRule="exact"/>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宋体"/>
                <w:szCs w:val="21"/>
                <w:lang w:val="en-US" w:eastAsia="zh-CN"/>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日至本项目投标截止日（以合同签订日期为准），投标人</w:t>
            </w:r>
            <w:r>
              <w:rPr>
                <w:rFonts w:hint="eastAsia" w:ascii="宋体" w:hAnsi="宋体" w:cs="仿宋"/>
                <w:szCs w:val="21"/>
              </w:rPr>
              <w:t>具有同类项目业绩的，每提供1个项目得0.5分，最高得2分。</w:t>
            </w:r>
          </w:p>
          <w:p>
            <w:pPr>
              <w:autoSpaceDE w:val="0"/>
              <w:autoSpaceDN w:val="0"/>
              <w:adjustRightInd w:val="0"/>
              <w:spacing w:line="360" w:lineRule="exact"/>
              <w:jc w:val="left"/>
              <w:rPr>
                <w:rFonts w:hint="eastAsia"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1.提供合同关键页（需</w:t>
            </w:r>
            <w:r>
              <w:rPr>
                <w:rFonts w:hint="eastAsia" w:ascii="宋体" w:hAnsi="宋体"/>
                <w:bCs/>
                <w:szCs w:val="21"/>
              </w:rPr>
              <w:t>体现签订日期</w:t>
            </w:r>
            <w:r>
              <w:rPr>
                <w:rFonts w:hint="eastAsia" w:ascii="宋体" w:hAnsi="宋体" w:cs="仿宋"/>
                <w:szCs w:val="21"/>
              </w:rPr>
              <w:t>）</w:t>
            </w:r>
            <w:r>
              <w:rPr>
                <w:rFonts w:hint="eastAsia" w:ascii="宋体" w:hAnsi="宋体"/>
                <w:bCs/>
                <w:szCs w:val="21"/>
              </w:rPr>
              <w:t>且各项信息不得有任何遮挡</w:t>
            </w:r>
            <w:r>
              <w:rPr>
                <w:rFonts w:hint="eastAsia" w:ascii="宋体" w:hAnsi="宋体"/>
                <w:szCs w:val="21"/>
              </w:rPr>
              <w:t>；</w:t>
            </w:r>
          </w:p>
          <w:p>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noWrap w:val="0"/>
            <w:vAlign w:val="center"/>
          </w:tcPr>
          <w:p>
            <w:pPr>
              <w:spacing w:line="360" w:lineRule="exact"/>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noWrap w:val="0"/>
            <w:vAlign w:val="center"/>
          </w:tcPr>
          <w:p>
            <w:pPr>
              <w:spacing w:line="360" w:lineRule="exact"/>
              <w:jc w:val="center"/>
              <w:rPr>
                <w:rFonts w:ascii="宋体" w:hAnsi="宋体" w:cs="仿宋"/>
                <w:szCs w:val="21"/>
              </w:rPr>
            </w:pPr>
            <w:r>
              <w:rPr>
                <w:rFonts w:hint="eastAsia" w:ascii="宋体" w:hAnsi="宋体" w:cs="宋体"/>
                <w:kern w:val="0"/>
                <w:szCs w:val="21"/>
              </w:rPr>
              <w:t>投标人资格情况及通过相关认证情况</w:t>
            </w:r>
          </w:p>
        </w:tc>
        <w:tc>
          <w:tcPr>
            <w:tcW w:w="709" w:type="dxa"/>
            <w:noWrap w:val="0"/>
            <w:vAlign w:val="center"/>
          </w:tcPr>
          <w:p>
            <w:pPr>
              <w:spacing w:line="360" w:lineRule="exact"/>
              <w:jc w:val="center"/>
              <w:rPr>
                <w:rFonts w:ascii="宋体" w:hAnsi="宋体" w:cs="仿宋"/>
                <w:szCs w:val="21"/>
              </w:rPr>
            </w:pPr>
            <w:r>
              <w:rPr>
                <w:rFonts w:hint="eastAsia" w:ascii="宋体" w:hAnsi="宋体" w:cs="仿宋"/>
                <w:szCs w:val="21"/>
                <w:lang w:val="en-US" w:eastAsia="zh-CN"/>
              </w:rPr>
              <w:t>3</w:t>
            </w:r>
          </w:p>
        </w:tc>
        <w:tc>
          <w:tcPr>
            <w:tcW w:w="5953" w:type="dxa"/>
            <w:noWrap w:val="0"/>
            <w:vAlign w:val="center"/>
          </w:tcPr>
          <w:p>
            <w:pPr>
              <w:spacing w:line="360" w:lineRule="exact"/>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cs="宋体"/>
                <w:kern w:val="0"/>
                <w:szCs w:val="21"/>
              </w:rPr>
              <w:t>投标人</w:t>
            </w:r>
            <w:r>
              <w:rPr>
                <w:rFonts w:hint="eastAsia" w:ascii="宋体" w:hAnsi="宋体"/>
                <w:kern w:val="0"/>
                <w:szCs w:val="21"/>
              </w:rPr>
              <w:t>具有</w:t>
            </w:r>
            <w:r>
              <w:rPr>
                <w:rFonts w:hint="eastAsia" w:ascii="宋体" w:hAnsi="宋体"/>
                <w:bCs/>
                <w:szCs w:val="21"/>
              </w:rPr>
              <w:t>ISO9001</w:t>
            </w:r>
            <w:r>
              <w:rPr>
                <w:rFonts w:hint="eastAsia" w:ascii="宋体" w:hAnsi="宋体"/>
                <w:kern w:val="0"/>
                <w:szCs w:val="21"/>
              </w:rPr>
              <w:t>质量管理体系认证证书、</w:t>
            </w:r>
            <w:r>
              <w:rPr>
                <w:rFonts w:ascii="宋体" w:hAnsi="宋体"/>
                <w:kern w:val="0"/>
                <w:szCs w:val="21"/>
              </w:rPr>
              <w:t>ISO14001</w:t>
            </w:r>
            <w:r>
              <w:rPr>
                <w:rFonts w:hint="eastAsia" w:ascii="宋体" w:hAnsi="宋体"/>
                <w:kern w:val="0"/>
                <w:szCs w:val="21"/>
              </w:rPr>
              <w:t>环境管理体系认证证书、ISO45001职业健康安全管理体系认证证书，以上所有证书认证范围要求包含：移动通信系统</w:t>
            </w:r>
            <w:r>
              <w:rPr>
                <w:rFonts w:hint="eastAsia"/>
                <w:lang w:val="en-US" w:eastAsia="zh-CN"/>
              </w:rPr>
              <w:t>或相关系统</w:t>
            </w:r>
            <w:r>
              <w:rPr>
                <w:rFonts w:hint="eastAsia" w:ascii="宋体" w:hAnsi="宋体"/>
                <w:kern w:val="0"/>
                <w:szCs w:val="21"/>
              </w:rPr>
              <w:t>。每提供1个有效认证证书得1分，最高得</w:t>
            </w:r>
            <w:r>
              <w:rPr>
                <w:rFonts w:hint="eastAsia" w:ascii="宋体" w:hAnsi="宋体"/>
                <w:kern w:val="0"/>
                <w:szCs w:val="21"/>
                <w:lang w:val="en-US" w:eastAsia="zh-CN"/>
              </w:rPr>
              <w:t>3</w:t>
            </w:r>
            <w:r>
              <w:rPr>
                <w:rFonts w:hint="eastAsia" w:ascii="宋体" w:hAnsi="宋体"/>
                <w:kern w:val="0"/>
                <w:szCs w:val="21"/>
              </w:rPr>
              <w:t>分。</w:t>
            </w:r>
          </w:p>
          <w:p>
            <w:pPr>
              <w:autoSpaceDE w:val="0"/>
              <w:autoSpaceDN w:val="0"/>
              <w:adjustRightInd w:val="0"/>
              <w:spacing w:line="360" w:lineRule="exact"/>
              <w:jc w:val="left"/>
              <w:rPr>
                <w:rFonts w:hint="eastAsia"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 xml:space="preserve">（二）评分依据：  </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adjustRightInd w:val="0"/>
              <w:snapToGrid w:val="0"/>
              <w:spacing w:line="360" w:lineRule="exact"/>
              <w:rPr>
                <w:rFonts w:ascii="宋体" w:hAnsi="宋体" w:cs="仿宋"/>
                <w:szCs w:val="21"/>
              </w:rPr>
            </w:pPr>
            <w:r>
              <w:rPr>
                <w:rFonts w:hint="eastAsia" w:ascii="宋体" w:hAnsi="宋体"/>
                <w:kern w:val="0"/>
                <w:szCs w:val="21"/>
              </w:rPr>
              <w:t>3.</w:t>
            </w:r>
            <w:r>
              <w:rPr>
                <w:rFonts w:hint="eastAsia" w:ascii="宋体" w:hAnsi="宋体"/>
                <w:szCs w:val="21"/>
              </w:rPr>
              <w:t>以上证明文件均</w:t>
            </w:r>
            <w:r>
              <w:rPr>
                <w:rFonts w:hint="eastAsia" w:ascii="宋体" w:hAnsi="宋体"/>
                <w:kern w:val="0"/>
                <w:szCs w:val="21"/>
              </w:rPr>
              <w:t>提供复印件或扫描件（或官方网站截图）加盖投标人公章。</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noWrap w:val="0"/>
            <w:vAlign w:val="center"/>
          </w:tcPr>
          <w:p>
            <w:pPr>
              <w:spacing w:line="360" w:lineRule="exact"/>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8"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6</w:t>
            </w:r>
          </w:p>
        </w:tc>
        <w:tc>
          <w:tcPr>
            <w:tcW w:w="1143" w:type="dxa"/>
            <w:noWrap w:val="0"/>
            <w:vAlign w:val="center"/>
          </w:tcPr>
          <w:p>
            <w:pPr>
              <w:spacing w:line="360" w:lineRule="exact"/>
              <w:jc w:val="center"/>
              <w:rPr>
                <w:rFonts w:ascii="宋体" w:hAnsi="宋体" w:cs="仿宋"/>
                <w:szCs w:val="21"/>
              </w:rPr>
            </w:pPr>
            <w:r>
              <w:rPr>
                <w:rFonts w:hint="eastAsia" w:ascii="宋体" w:hAnsi="宋体" w:cs="仿宋"/>
                <w:szCs w:val="21"/>
              </w:rPr>
              <w:t>服务网点</w:t>
            </w:r>
          </w:p>
        </w:tc>
        <w:tc>
          <w:tcPr>
            <w:tcW w:w="709" w:type="dxa"/>
            <w:noWrap w:val="0"/>
            <w:vAlign w:val="center"/>
          </w:tcPr>
          <w:p>
            <w:pPr>
              <w:spacing w:line="360" w:lineRule="exact"/>
              <w:jc w:val="center"/>
              <w:rPr>
                <w:rFonts w:ascii="宋体" w:hAnsi="宋体" w:cs="仿宋"/>
                <w:szCs w:val="21"/>
              </w:rPr>
            </w:pPr>
            <w:r>
              <w:rPr>
                <w:rFonts w:hint="eastAsia" w:ascii="宋体" w:hAnsi="宋体" w:cs="仿宋"/>
                <w:szCs w:val="21"/>
              </w:rPr>
              <w:t>1</w:t>
            </w:r>
          </w:p>
        </w:tc>
        <w:tc>
          <w:tcPr>
            <w:tcW w:w="5953" w:type="dxa"/>
            <w:noWrap w:val="0"/>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pStyle w:val="94"/>
              <w:spacing w:line="360" w:lineRule="exact"/>
              <w:ind w:firstLine="0" w:firstLineChars="0"/>
              <w:rPr>
                <w:rFonts w:ascii="宋体" w:hAnsi="宋体"/>
                <w:szCs w:val="21"/>
              </w:rPr>
            </w:pPr>
            <w:r>
              <w:rPr>
                <w:rFonts w:hint="eastAsia" w:ascii="宋体" w:hAnsi="宋体"/>
                <w:szCs w:val="21"/>
              </w:rPr>
              <w:t>投标人</w:t>
            </w:r>
            <w:r>
              <w:rPr>
                <w:rFonts w:hint="eastAsia" w:ascii="宋体" w:hAnsi="宋体"/>
              </w:rPr>
              <w:t>承诺中标后提供本地服务网点的，得1分</w:t>
            </w:r>
            <w:r>
              <w:rPr>
                <w:rFonts w:hint="eastAsia" w:ascii="宋体" w:hAnsi="宋体"/>
                <w:szCs w:val="21"/>
              </w:rPr>
              <w:t>。</w:t>
            </w:r>
          </w:p>
          <w:p>
            <w:pPr>
              <w:pStyle w:val="94"/>
              <w:spacing w:line="360" w:lineRule="exact"/>
              <w:ind w:firstLine="0" w:firstLineChars="0"/>
              <w:rPr>
                <w:rFonts w:hint="eastAsia" w:ascii="宋体" w:hAnsi="宋体"/>
                <w:szCs w:val="21"/>
              </w:rPr>
            </w:pPr>
          </w:p>
          <w:p>
            <w:pPr>
              <w:pStyle w:val="94"/>
              <w:spacing w:line="360" w:lineRule="exact"/>
              <w:ind w:firstLine="0" w:firstLineChars="0"/>
              <w:rPr>
                <w:rFonts w:ascii="宋体" w:hAnsi="宋体"/>
                <w:szCs w:val="21"/>
              </w:rPr>
            </w:pPr>
            <w:r>
              <w:rPr>
                <w:rFonts w:hint="eastAsia" w:ascii="宋体" w:hAnsi="宋体"/>
                <w:szCs w:val="21"/>
              </w:rPr>
              <w:t>（二）评分依据：</w:t>
            </w:r>
          </w:p>
          <w:p>
            <w:pPr>
              <w:tabs>
                <w:tab w:val="left" w:pos="175"/>
              </w:tabs>
              <w:spacing w:line="360" w:lineRule="exact"/>
              <w:ind w:left="33"/>
              <w:jc w:val="left"/>
              <w:rPr>
                <w:rFonts w:ascii="宋体" w:hAnsi="宋体"/>
                <w:szCs w:val="21"/>
              </w:rPr>
            </w:pPr>
            <w:r>
              <w:rPr>
                <w:rFonts w:hint="eastAsia" w:ascii="宋体" w:hAnsi="宋体"/>
                <w:szCs w:val="21"/>
              </w:rPr>
              <w:t>提供承诺函（格式自拟）作为得分依据，未提供承诺或承诺内容不满足要求不得分。</w:t>
            </w:r>
          </w:p>
        </w:tc>
        <w:tc>
          <w:tcPr>
            <w:tcW w:w="1187" w:type="dxa"/>
            <w:noWrap w:val="0"/>
            <w:vAlign w:val="center"/>
          </w:tcPr>
          <w:p>
            <w:pPr>
              <w:spacing w:line="360" w:lineRule="exact"/>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noWrap w:val="0"/>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7</w:t>
            </w:r>
          </w:p>
        </w:tc>
        <w:tc>
          <w:tcPr>
            <w:tcW w:w="1143" w:type="dxa"/>
            <w:noWrap w:val="0"/>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noWrap w:val="0"/>
            <w:vAlign w:val="center"/>
          </w:tcPr>
          <w:p>
            <w:pPr>
              <w:spacing w:line="360" w:lineRule="exact"/>
              <w:jc w:val="center"/>
              <w:rPr>
                <w:rFonts w:ascii="宋体" w:hAnsi="宋体" w:cs="仿宋"/>
                <w:szCs w:val="21"/>
              </w:rPr>
            </w:pPr>
            <w:r>
              <w:rPr>
                <w:rFonts w:ascii="宋体" w:hAnsi="宋体" w:cs="仿宋"/>
                <w:szCs w:val="21"/>
              </w:rPr>
              <w:t>2</w:t>
            </w:r>
          </w:p>
        </w:tc>
        <w:tc>
          <w:tcPr>
            <w:tcW w:w="5953" w:type="dxa"/>
            <w:noWrap w:val="0"/>
            <w:vAlign w:val="center"/>
          </w:tcPr>
          <w:p>
            <w:pPr>
              <w:spacing w:line="360" w:lineRule="exact"/>
              <w:ind w:left="34" w:leftChars="16"/>
              <w:rPr>
                <w:rFonts w:ascii="宋体" w:hAnsi="宋体"/>
                <w:szCs w:val="21"/>
              </w:rPr>
            </w:pPr>
            <w:r>
              <w:rPr>
                <w:rFonts w:hint="eastAsia" w:ascii="宋体" w:hAnsi="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ascii="宋体" w:hAnsi="宋体"/>
                <w:szCs w:val="21"/>
              </w:rPr>
              <w:t>2</w:t>
            </w:r>
            <w:r>
              <w:rPr>
                <w:rFonts w:hint="eastAsia" w:ascii="宋体" w:hAnsi="宋体"/>
                <w:szCs w:val="21"/>
              </w:rPr>
              <w:t>分。</w:t>
            </w:r>
          </w:p>
          <w:p>
            <w:pPr>
              <w:tabs>
                <w:tab w:val="left" w:pos="175"/>
              </w:tabs>
              <w:spacing w:line="360" w:lineRule="exact"/>
              <w:ind w:left="33"/>
              <w:jc w:val="left"/>
              <w:rPr>
                <w:rFonts w:ascii="宋体" w:hAnsi="宋体" w:cs="仿宋"/>
                <w:szCs w:val="21"/>
              </w:rPr>
            </w:pPr>
            <w:r>
              <w:rPr>
                <w:rFonts w:hint="eastAsia" w:ascii="宋体" w:hAnsi="宋体"/>
                <w:szCs w:val="21"/>
              </w:rPr>
              <w:t>（采购代理机构通过“信用中国”、“中国政府采购网”、“深圳市政府采购监管网”以及市、区财政部门认定的其他渠道查询供应商信用信息，投标人无需提供证明材料。）</w:t>
            </w:r>
          </w:p>
        </w:tc>
        <w:tc>
          <w:tcPr>
            <w:tcW w:w="1187" w:type="dxa"/>
            <w:noWrap w:val="0"/>
            <w:vAlign w:val="center"/>
          </w:tcPr>
          <w:p>
            <w:pPr>
              <w:spacing w:line="360" w:lineRule="exact"/>
              <w:jc w:val="center"/>
              <w:rPr>
                <w:rFonts w:ascii="宋体" w:hAnsi="宋体" w:cs="仿宋"/>
                <w:szCs w:val="21"/>
                <w:lang w:val="zh-CN"/>
              </w:rPr>
            </w:pPr>
            <w:r>
              <w:rPr>
                <w:rFonts w:hint="eastAsia" w:ascii="宋体" w:hAnsi="宋体" w:cs="仿宋"/>
                <w:szCs w:val="21"/>
                <w:lang w:val="zh-CN"/>
              </w:rPr>
              <w:t>评委打分</w:t>
            </w:r>
          </w:p>
        </w:tc>
      </w:tr>
    </w:tbl>
    <w:p>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35293327"/>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35293328"/>
      <w:r>
        <w:rPr>
          <w:rFonts w:hint="eastAsia" w:asciiTheme="minorEastAsia" w:hAnsiTheme="minorEastAsia" w:eastAsiaTheme="minorEastAsia"/>
        </w:rPr>
        <w:t>2、政府采购扶持政策</w:t>
      </w:r>
      <w:bookmarkEnd w:id="16"/>
    </w:p>
    <w:p>
      <w:pPr>
        <w:spacing w:line="360" w:lineRule="auto"/>
        <w:ind w:firstLine="424" w:firstLineChars="202"/>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afterLines="50" w:line="360" w:lineRule="auto"/>
        <w:ind w:firstLine="424" w:firstLineChars="202"/>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br w:type="page"/>
      </w:r>
    </w:p>
    <w:p>
      <w:pPr>
        <w:spacing w:line="240" w:lineRule="exact"/>
        <w:ind w:firstLine="424" w:firstLineChars="202"/>
        <w:jc w:val="left"/>
        <w:rPr>
          <w:rFonts w:asciiTheme="minorEastAsia" w:hAnsiTheme="minorEastAsia" w:eastAsiaTheme="minorEastAsia"/>
          <w:szCs w:val="21"/>
        </w:rPr>
      </w:pPr>
    </w:p>
    <w:p>
      <w:pPr>
        <w:pStyle w:val="2"/>
      </w:pPr>
      <w:bookmarkStart w:id="17" w:name="_Toc135293329"/>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eastAsia="宋体"/>
                <w:lang w:eastAsia="zh-CN"/>
              </w:rPr>
            </w:pPr>
            <w:r>
              <w:rPr>
                <w:rFonts w:hint="eastAsia" w:asciiTheme="minorEastAsia" w:hAnsiTheme="minorEastAsia" w:eastAsiaTheme="minorEastAsia"/>
                <w:lang w:eastAsia="zh-CN"/>
              </w:rPr>
              <w:t>应急指挥通信设备采购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int="eastAsia" w:hAnsi="宋体" w:eastAsia="宋体"/>
                <w:szCs w:val="24"/>
                <w:lang w:eastAsia="zh-CN"/>
              </w:rPr>
            </w:pPr>
            <w:r>
              <w:rPr>
                <w:rFonts w:hint="eastAsia" w:hAnsi="宋体"/>
                <w:szCs w:val="24"/>
                <w:lang w:eastAsia="zh-CN"/>
              </w:rPr>
              <w:t>深圳市应急管理局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11</w:t>
            </w:r>
            <w:r>
              <w:rPr>
                <w:rFonts w:hint="eastAsia" w:hAnsi="宋体"/>
                <w:b/>
                <w:snapToGrid w:val="0"/>
                <w:szCs w:val="18"/>
              </w:rPr>
              <w:t>日</w:t>
            </w:r>
            <w:r>
              <w:rPr>
                <w:rFonts w:hint="eastAsia" w:hAnsi="宋体"/>
                <w:b/>
                <w:snapToGrid w:val="0"/>
                <w:szCs w:val="18"/>
                <w:lang w:val="en-US" w:eastAsia="zh-CN"/>
              </w:rPr>
              <w:t>10</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11</w:t>
            </w:r>
            <w:r>
              <w:rPr>
                <w:rFonts w:hint="eastAsia" w:hAnsi="宋体"/>
                <w:b/>
                <w:snapToGrid w:val="0"/>
                <w:szCs w:val="18"/>
              </w:rPr>
              <w:t>日</w:t>
            </w:r>
            <w:r>
              <w:rPr>
                <w:rFonts w:hint="eastAsia" w:hAnsi="宋体"/>
                <w:b/>
                <w:snapToGrid w:val="0"/>
                <w:szCs w:val="18"/>
                <w:lang w:val="en-US" w:eastAsia="zh-CN"/>
              </w:rPr>
              <w:t>10</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pStyle w:val="2"/>
      </w:pPr>
      <w:bookmarkStart w:id="18" w:name="_Toc135293330"/>
      <w:r>
        <w:rPr>
          <w:rFonts w:hint="eastAsia"/>
        </w:rPr>
        <w:t>第六章  投标人须知</w:t>
      </w:r>
      <w:bookmarkEnd w:id="18"/>
    </w:p>
    <w:p>
      <w:pPr>
        <w:pStyle w:val="4"/>
        <w:spacing w:before="0" w:after="0"/>
      </w:pPr>
      <w:bookmarkStart w:id="19" w:name="_Toc135293331"/>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35293332"/>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35293333"/>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35293334"/>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35293335"/>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35293336"/>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4"/>
        <w:spacing w:before="0" w:after="0"/>
      </w:pPr>
      <w:bookmarkStart w:id="31" w:name="_Toc135293337"/>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p/>
    <w:p/>
    <w:p/>
    <w:p/>
    <w:p/>
    <w:p/>
    <w:p>
      <w:pPr>
        <w:pStyle w:val="2"/>
      </w:pPr>
      <w:bookmarkStart w:id="34" w:name="_Toc135293338"/>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135293339"/>
      <w:bookmarkStart w:id="36" w:name="_Toc14934"/>
      <w:bookmarkStart w:id="37" w:name="_Toc44691163"/>
      <w:bookmarkStart w:id="38" w:name="_Toc44690704"/>
      <w:bookmarkStart w:id="39" w:name="_Toc25194"/>
      <w:bookmarkStart w:id="40" w:name="_Toc44691395"/>
      <w:bookmarkStart w:id="41" w:name="_Toc44690431"/>
      <w:bookmarkStart w:id="42" w:name="_Toc31468"/>
      <w:bookmarkStart w:id="43" w:name="_Toc11772"/>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6" w:name="_Toc135293340"/>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8" w:name="_Toc135293341"/>
      <w:bookmarkStart w:id="49" w:name="_Toc73610158"/>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pStyle w:val="4"/>
        <w:spacing w:line="400" w:lineRule="exact"/>
        <w:rPr>
          <w:rFonts w:ascii="仿宋" w:hAnsi="仿宋" w:eastAsia="仿宋"/>
        </w:rPr>
      </w:pPr>
      <w:bookmarkStart w:id="50" w:name="_Toc135293342"/>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44690432"/>
      <w:bookmarkStart w:id="52" w:name="_Toc44691396"/>
      <w:bookmarkStart w:id="53" w:name="_Toc135293343"/>
      <w:bookmarkStart w:id="54" w:name="_Toc44690705"/>
      <w:bookmarkStart w:id="55" w:name="_Toc44691164"/>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00" w:lineRule="auto"/>
        <w:jc w:val="center"/>
        <w:rPr>
          <w:b/>
          <w:snapToGrid w:val="0"/>
          <w:sz w:val="32"/>
          <w:szCs w:val="32"/>
        </w:rPr>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344"/>
      <w:r>
        <w:rPr>
          <w:rFonts w:hint="eastAsia" w:asciiTheme="minorEastAsia" w:hAnsiTheme="minorEastAsia" w:eastAsiaTheme="minorEastAsia"/>
        </w:rPr>
        <w:t>格式2  法定代表人（负责人）证明书及授权委托书</w:t>
      </w:r>
      <w:bookmarkEnd w:id="56"/>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snapToGrid w:val="0"/>
        <w:spacing w:line="360" w:lineRule="auto"/>
        <w:jc w:val="left"/>
      </w:pPr>
    </w:p>
    <w:p>
      <w:pPr>
        <w:widowControl/>
        <w:snapToGrid w:val="0"/>
        <w:spacing w:line="360" w:lineRule="auto"/>
        <w:jc w:val="left"/>
      </w:pPr>
    </w:p>
    <w:p>
      <w:pPr>
        <w:widowControl/>
        <w:snapToGrid w:val="0"/>
        <w:spacing w:line="360" w:lineRule="auto"/>
        <w:jc w:val="left"/>
        <w:rPr>
          <w:rFonts w:asciiTheme="minorEastAsia" w:hAnsiTheme="minorEastAsia" w:eastAsiaTheme="minorEastAsia"/>
          <w:color w:val="FF0000"/>
          <w:kern w:val="0"/>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5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tabs>
          <w:tab w:val="left" w:pos="371"/>
        </w:tabs>
        <w:spacing w:before="120" w:after="120"/>
        <w:ind w:left="-1" w:leftChars="-1" w:hanging="1"/>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346"/>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napToGrid w:val="0"/>
        <w:spacing w:line="360" w:lineRule="auto"/>
        <w:ind w:firstLine="600"/>
        <w:jc w:val="left"/>
        <w:rPr>
          <w:b/>
          <w:snapToGrid w:val="0"/>
          <w:kern w:val="0"/>
          <w:sz w:val="28"/>
        </w:rPr>
      </w:pPr>
    </w:p>
    <w:p>
      <w:pPr>
        <w:adjustRightInd w:val="0"/>
        <w:snapToGrid w:val="0"/>
        <w:spacing w:line="360" w:lineRule="auto"/>
        <w:ind w:firstLine="600"/>
        <w:jc w:val="left"/>
      </w:pPr>
    </w:p>
    <w:p>
      <w:pPr>
        <w:pStyle w:val="3"/>
        <w:tabs>
          <w:tab w:val="left" w:pos="371"/>
        </w:tabs>
        <w:spacing w:before="120" w:after="120"/>
        <w:ind w:left="-1" w:leftChars="-1" w:hanging="1"/>
        <w:jc w:val="center"/>
        <w:rPr>
          <w:rFonts w:asciiTheme="minorEastAsia" w:hAnsiTheme="minorEastAsia" w:eastAsiaTheme="minorEastAsia"/>
        </w:rPr>
      </w:pPr>
      <w:bookmarkStart w:id="61" w:name="_Toc44690433"/>
      <w:bookmarkStart w:id="62" w:name="_Toc44691165"/>
      <w:bookmarkStart w:id="63" w:name="_Toc44690706"/>
      <w:bookmarkStart w:id="64" w:name="_Toc44691397"/>
      <w:bookmarkStart w:id="65" w:name="_Toc135293347"/>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lang w:eastAsia="zh-CN"/>
              </w:rPr>
              <w:t>应急指挥通信设备采购</w:t>
            </w:r>
          </w:p>
        </w:tc>
        <w:tc>
          <w:tcPr>
            <w:tcW w:w="4396" w:type="dxa"/>
            <w:tcBorders>
              <w:top w:val="single" w:color="auto" w:sz="4" w:space="0"/>
            </w:tcBorders>
            <w:vAlign w:val="center"/>
          </w:tcPr>
          <w:p>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66" w:name="_Toc44691166"/>
      <w:bookmarkStart w:id="67" w:name="_Toc44691398"/>
      <w:bookmarkStart w:id="68" w:name="_Toc135293348"/>
      <w:bookmarkStart w:id="69" w:name="_Toc44690707"/>
      <w:bookmarkStart w:id="70" w:name="_Toc44690434"/>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Cs/>
                <w:szCs w:val="21"/>
              </w:rPr>
            </w:pPr>
            <w:r>
              <w:rPr>
                <w:rFonts w:hint="eastAsia" w:hAnsi="宋体"/>
                <w:bCs/>
                <w:szCs w:val="21"/>
              </w:rPr>
              <w:t>年度保修</w:t>
            </w: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tabs>
          <w:tab w:val="left" w:pos="371"/>
        </w:tabs>
        <w:spacing w:before="120" w:after="120"/>
        <w:ind w:left="-1" w:leftChars="-1" w:hanging="1"/>
        <w:jc w:val="center"/>
        <w:rPr>
          <w:rFonts w:asciiTheme="minorEastAsia" w:hAnsiTheme="minorEastAsia" w:eastAsiaTheme="minorEastAsia"/>
          <w:sz w:val="24"/>
        </w:rPr>
      </w:pPr>
      <w:bookmarkStart w:id="71" w:name="_Toc44691399"/>
      <w:bookmarkStart w:id="72" w:name="_Toc44690708"/>
      <w:bookmarkStart w:id="73" w:name="_Toc44690435"/>
      <w:bookmarkStart w:id="74" w:name="_Toc44691167"/>
    </w:p>
    <w:p>
      <w:pPr>
        <w:pStyle w:val="3"/>
        <w:tabs>
          <w:tab w:val="left" w:pos="371"/>
        </w:tabs>
        <w:spacing w:before="120" w:after="120"/>
        <w:ind w:left="-1" w:leftChars="-1" w:hanging="1"/>
        <w:jc w:val="center"/>
        <w:rPr>
          <w:rFonts w:asciiTheme="minorEastAsia" w:hAnsiTheme="minorEastAsia" w:eastAsiaTheme="minorEastAsia"/>
        </w:rPr>
      </w:pPr>
      <w:bookmarkStart w:id="75" w:name="_Toc135293349"/>
      <w:r>
        <w:rPr>
          <w:rFonts w:hint="eastAsia" w:asciiTheme="minorEastAsia" w:hAnsiTheme="minorEastAsia" w:eastAsiaTheme="minorEastAsia"/>
        </w:rPr>
        <w:t>格式7  技术规格</w:t>
      </w:r>
      <w:bookmarkEnd w:id="71"/>
      <w:bookmarkEnd w:id="72"/>
      <w:bookmarkEnd w:id="73"/>
      <w:bookmarkEnd w:id="74"/>
      <w:bookmarkEnd w:id="75"/>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76"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6"/>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rPr>
          <w:rFonts w:ascii="宋体" w:hAnsi="宋体"/>
          <w:sz w:val="28"/>
        </w:rPr>
      </w:pPr>
    </w:p>
    <w:p/>
    <w:p/>
    <w:p/>
    <w:p/>
    <w:p/>
    <w:p/>
    <w:p/>
    <w:p>
      <w:pPr>
        <w:tabs>
          <w:tab w:val="left" w:pos="371"/>
        </w:tabs>
        <w:spacing w:before="120" w:after="120"/>
        <w:ind w:left="-1" w:leftChars="-1" w:hanging="1"/>
        <w:jc w:val="center"/>
      </w:pPr>
      <w:bookmarkStart w:id="77" w:name="_Toc44691168"/>
      <w:bookmarkStart w:id="78" w:name="_Toc44690436"/>
      <w:bookmarkStart w:id="79" w:name="_Toc44691400"/>
      <w:bookmarkStart w:id="80" w:name="_Toc44690709"/>
    </w:p>
    <w:p>
      <w:pPr>
        <w:tabs>
          <w:tab w:val="left" w:pos="371"/>
        </w:tabs>
        <w:spacing w:before="120" w:after="120"/>
        <w:ind w:left="-1" w:leftChars="-1" w:hanging="1"/>
        <w:jc w:val="cente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81" w:name="_Toc135293351"/>
      <w:r>
        <w:rPr>
          <w:rFonts w:hint="eastAsia" w:asciiTheme="minorEastAsia" w:hAnsiTheme="minorEastAsia" w:eastAsiaTheme="minorEastAsia"/>
        </w:rPr>
        <w:t>格式9  售后服务和质量承诺</w:t>
      </w:r>
      <w:bookmarkEnd w:id="77"/>
      <w:bookmarkEnd w:id="78"/>
      <w:bookmarkEnd w:id="79"/>
      <w:bookmarkEnd w:id="80"/>
      <w:bookmarkEnd w:id="81"/>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2" w:name="_格式5__"/>
      <w:bookmarkEnd w:id="82"/>
      <w:bookmarkStart w:id="83" w:name="_格式2__投标保证金凭证"/>
      <w:bookmarkEnd w:id="83"/>
      <w:bookmarkStart w:id="84" w:name="_格式4__"/>
      <w:bookmarkEnd w:id="84"/>
      <w:bookmarkStart w:id="85" w:name="q17"/>
      <w:bookmarkEnd w:id="85"/>
      <w:bookmarkStart w:id="86" w:name="_格式3__"/>
      <w:bookmarkEnd w:id="86"/>
      <w:bookmarkStart w:id="87" w:name="q16"/>
      <w:bookmarkEnd w:id="87"/>
      <w:bookmarkStart w:id="88" w:name="q15"/>
      <w:bookmarkEnd w:id="88"/>
      <w:r>
        <w:rPr>
          <w:rFonts w:asciiTheme="minorEastAsia" w:hAnsiTheme="minorEastAsia" w:eastAsiaTheme="minorEastAsia"/>
        </w:rPr>
        <w:tab/>
      </w:r>
      <w:bookmarkStart w:id="89" w:name="_Toc44690437"/>
      <w:bookmarkStart w:id="90" w:name="_Toc44691169"/>
      <w:bookmarkStart w:id="91" w:name="_Toc44690710"/>
      <w:bookmarkStart w:id="92" w:name="_Toc135293352"/>
      <w:bookmarkStart w:id="93" w:name="_Toc44691401"/>
      <w:r>
        <w:rPr>
          <w:rFonts w:hint="eastAsia" w:asciiTheme="minorEastAsia" w:hAnsiTheme="minorEastAsia" w:eastAsiaTheme="minorEastAsia"/>
        </w:rPr>
        <w:t>格式10  投标人情况介绍</w:t>
      </w:r>
      <w:bookmarkEnd w:id="89"/>
      <w:bookmarkEnd w:id="90"/>
      <w:bookmarkEnd w:id="91"/>
      <w:bookmarkEnd w:id="92"/>
      <w:bookmarkEnd w:id="93"/>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94" w:name="_格式7__投标人资格声明"/>
      <w:bookmarkEnd w:id="94"/>
      <w:bookmarkStart w:id="95" w:name="q40"/>
    </w:p>
    <w:p>
      <w:pPr>
        <w:pStyle w:val="3"/>
        <w:tabs>
          <w:tab w:val="left" w:pos="371"/>
        </w:tabs>
        <w:spacing w:before="120" w:after="120"/>
        <w:ind w:left="-1" w:leftChars="-1" w:hanging="1"/>
        <w:jc w:val="center"/>
        <w:rPr>
          <w:rFonts w:asciiTheme="minorEastAsia" w:hAnsiTheme="minorEastAsia" w:eastAsiaTheme="minorEastAsia"/>
        </w:rPr>
      </w:pPr>
      <w:bookmarkStart w:id="96" w:name="_Toc135293353"/>
      <w:r>
        <w:rPr>
          <w:rFonts w:hint="eastAsia" w:asciiTheme="minorEastAsia" w:hAnsiTheme="minorEastAsia" w:eastAsiaTheme="minorEastAsia"/>
        </w:rPr>
        <w:t>格式11  偏离表</w:t>
      </w:r>
      <w:bookmarkEnd w:id="96"/>
    </w:p>
    <w:bookmarkEnd w:id="95"/>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pStyle w:val="3"/>
        <w:tabs>
          <w:tab w:val="left" w:pos="371"/>
        </w:tabs>
        <w:spacing w:before="120" w:after="120"/>
        <w:ind w:left="-1" w:leftChars="-1" w:hanging="1"/>
        <w:jc w:val="center"/>
        <w:rPr>
          <w:rFonts w:asciiTheme="minorEastAsia" w:hAnsiTheme="minorEastAsia" w:eastAsiaTheme="minorEastAsia"/>
        </w:rPr>
      </w:pPr>
      <w:bookmarkStart w:id="97" w:name="_Toc135293354"/>
      <w:r>
        <w:rPr>
          <w:rFonts w:hint="eastAsia" w:asciiTheme="minorEastAsia" w:hAnsiTheme="minorEastAsia" w:eastAsiaTheme="minorEastAsia"/>
        </w:rPr>
        <w:t>格式12  招标文件要求的其他资料或投标人认为需要补充的资料</w:t>
      </w:r>
      <w:bookmarkEnd w:id="97"/>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adjustRightInd w:val="0"/>
        <w:snapToGrid w:val="0"/>
        <w:spacing w:line="300" w:lineRule="auto"/>
        <w:ind w:firstLine="482" w:firstLineChars="200"/>
        <w:rPr>
          <w:b/>
          <w:snapToGrid w:val="0"/>
          <w:kern w:val="0"/>
          <w:sz w:val="24"/>
        </w:rPr>
      </w:pPr>
    </w:p>
    <w:p>
      <w:pPr>
        <w:rPr>
          <w:snapToGrid w:val="0"/>
          <w:kern w:val="0"/>
          <w:sz w:val="52"/>
          <w:szCs w:val="52"/>
        </w:rPr>
      </w:pPr>
    </w:p>
    <w:p/>
    <w:p/>
    <w:p/>
    <w:p/>
    <w:p/>
    <w:p/>
    <w:p/>
    <w:p/>
    <w:p/>
    <w:p/>
    <w:p/>
    <w:p/>
    <w:p/>
    <w:p/>
    <w:p/>
    <w:p/>
    <w:p>
      <w:pPr>
        <w:pStyle w:val="2"/>
      </w:pPr>
      <w:bookmarkStart w:id="98" w:name="_Toc135293355"/>
      <w:r>
        <w:rPr>
          <w:rFonts w:hint="eastAsia"/>
        </w:rPr>
        <w:t>第八章  合同条款</w:t>
      </w:r>
      <w:bookmarkEnd w:id="98"/>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
      <w:pPr>
        <w:pStyle w:val="2"/>
      </w:pPr>
      <w:bookmarkStart w:id="99" w:name="_Toc135293356"/>
      <w:r>
        <w:rPr>
          <w:rFonts w:hint="eastAsia"/>
        </w:rPr>
        <w:t>第九章  附件</w:t>
      </w:r>
      <w:bookmarkEnd w:id="99"/>
    </w:p>
    <w:p>
      <w:pPr>
        <w:pStyle w:val="4"/>
        <w:spacing w:before="0" w:after="0"/>
      </w:pPr>
      <w:bookmarkStart w:id="100" w:name="_Toc135293357"/>
      <w:bookmarkStart w:id="101" w:name="_Toc73613644"/>
      <w:bookmarkStart w:id="102" w:name="_Toc73610162"/>
      <w:r>
        <w:rPr>
          <w:rFonts w:hint="eastAsia"/>
        </w:rPr>
        <w:t>一、财政部 工业和信息化部关于印发《政府采购促进中小企业发展管理办法》的通知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3" w:name="_Toc73613645"/>
      <w:bookmarkStart w:id="104" w:name="_Toc135293358"/>
      <w:bookmarkStart w:id="105" w:name="_Toc73610163"/>
      <w:r>
        <w:rPr>
          <w:rFonts w:hint="eastAsia"/>
        </w:rPr>
        <w:t>二、关于印发中小企业划型标准规定的通知</w:t>
      </w:r>
      <w:bookmarkEnd w:id="103"/>
      <w:bookmarkEnd w:id="104"/>
      <w:bookmarkEnd w:id="105"/>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6" w:name="_Toc73613646"/>
      <w:bookmarkStart w:id="107" w:name="_Toc73610164"/>
      <w:bookmarkStart w:id="108" w:name="_Toc135293359"/>
      <w:r>
        <w:rPr>
          <w:rFonts w:hint="eastAsia"/>
        </w:rPr>
        <w:t>三、</w:t>
      </w:r>
      <w:r>
        <w:t>国家统计局关于印发《统计上大中小微型企业划分办法 （2017）》的通知</w:t>
      </w:r>
      <w:bookmarkEnd w:id="106"/>
      <w:bookmarkEnd w:id="107"/>
      <w:bookmarkEnd w:id="108"/>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09" w:name="_Toc135293360"/>
      <w:bookmarkStart w:id="110" w:name="_Toc73610165"/>
      <w:bookmarkStart w:id="111" w:name="_Toc73613647"/>
      <w:r>
        <w:rPr>
          <w:rFonts w:hint="eastAsia"/>
        </w:rPr>
        <w:t>四、</w:t>
      </w:r>
      <w:r>
        <w:t>财政部 民政部 中国残疾人联合会关于促进残疾人就业 政府采购政策的通知</w:t>
      </w:r>
      <w:bookmarkEnd w:id="109"/>
      <w:bookmarkEnd w:id="110"/>
      <w:bookmarkEnd w:id="111"/>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00"/>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4</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应急指挥通信设备采购</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w:t>
    </w:r>
    <w:r>
      <w:rPr>
        <w:rFonts w:hint="eastAsia" w:asciiTheme="minorEastAsia" w:hAnsiTheme="minorEastAsia" w:eastAsiaTheme="minorEastAsia"/>
        <w:lang w:eastAsia="zh-CN"/>
      </w:rPr>
      <w:t>SZZZ2023-QC0487</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EDD"/>
    <w:rsid w:val="000F23CA"/>
    <w:rsid w:val="000F243B"/>
    <w:rsid w:val="000F262E"/>
    <w:rsid w:val="000F3580"/>
    <w:rsid w:val="000F3F04"/>
    <w:rsid w:val="000F420E"/>
    <w:rsid w:val="000F454C"/>
    <w:rsid w:val="000F4EE2"/>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3A07"/>
    <w:rsid w:val="003744B5"/>
    <w:rsid w:val="003745F2"/>
    <w:rsid w:val="00374BA5"/>
    <w:rsid w:val="003750DD"/>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35B0"/>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ED0"/>
    <w:rsid w:val="003F447B"/>
    <w:rsid w:val="003F48D0"/>
    <w:rsid w:val="003F4F4B"/>
    <w:rsid w:val="003F50A1"/>
    <w:rsid w:val="003F5132"/>
    <w:rsid w:val="003F538A"/>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B1A"/>
    <w:rsid w:val="00413625"/>
    <w:rsid w:val="00413661"/>
    <w:rsid w:val="00413BFD"/>
    <w:rsid w:val="004146C1"/>
    <w:rsid w:val="00414A4F"/>
    <w:rsid w:val="00414EA4"/>
    <w:rsid w:val="00415756"/>
    <w:rsid w:val="00415B9C"/>
    <w:rsid w:val="00415FC6"/>
    <w:rsid w:val="0041688D"/>
    <w:rsid w:val="004168DB"/>
    <w:rsid w:val="00416907"/>
    <w:rsid w:val="00416A9F"/>
    <w:rsid w:val="004170BB"/>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5B7"/>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2B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131E"/>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8E8"/>
    <w:rsid w:val="00854CBF"/>
    <w:rsid w:val="00855CB8"/>
    <w:rsid w:val="00856618"/>
    <w:rsid w:val="008566CA"/>
    <w:rsid w:val="008568C5"/>
    <w:rsid w:val="0085699B"/>
    <w:rsid w:val="00856B2E"/>
    <w:rsid w:val="008576E8"/>
    <w:rsid w:val="00862342"/>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74B"/>
    <w:rsid w:val="00975C59"/>
    <w:rsid w:val="00975DEE"/>
    <w:rsid w:val="00976215"/>
    <w:rsid w:val="00976309"/>
    <w:rsid w:val="00976487"/>
    <w:rsid w:val="0097700C"/>
    <w:rsid w:val="009773D6"/>
    <w:rsid w:val="00977A8A"/>
    <w:rsid w:val="00977C0C"/>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84"/>
    <w:rsid w:val="009C749C"/>
    <w:rsid w:val="009C788F"/>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91A"/>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2047B"/>
    <w:rsid w:val="00C20A4F"/>
    <w:rsid w:val="00C215BB"/>
    <w:rsid w:val="00C216C9"/>
    <w:rsid w:val="00C21801"/>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A2C"/>
    <w:rsid w:val="00C81E27"/>
    <w:rsid w:val="00C82647"/>
    <w:rsid w:val="00C8285E"/>
    <w:rsid w:val="00C82F2D"/>
    <w:rsid w:val="00C83260"/>
    <w:rsid w:val="00C836F0"/>
    <w:rsid w:val="00C8398B"/>
    <w:rsid w:val="00C84318"/>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73B2"/>
    <w:rsid w:val="00E777A5"/>
    <w:rsid w:val="00E77BF3"/>
    <w:rsid w:val="00E77E2D"/>
    <w:rsid w:val="00E77E32"/>
    <w:rsid w:val="00E800B4"/>
    <w:rsid w:val="00E809C8"/>
    <w:rsid w:val="00E80EE9"/>
    <w:rsid w:val="00E8173D"/>
    <w:rsid w:val="00E81907"/>
    <w:rsid w:val="00E81B11"/>
    <w:rsid w:val="00E81DA3"/>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24362A"/>
    <w:rsid w:val="026E4F91"/>
    <w:rsid w:val="041D095D"/>
    <w:rsid w:val="05C87DB9"/>
    <w:rsid w:val="0961739E"/>
    <w:rsid w:val="098E6083"/>
    <w:rsid w:val="0B205B2B"/>
    <w:rsid w:val="0B782559"/>
    <w:rsid w:val="0D566BC9"/>
    <w:rsid w:val="0E180322"/>
    <w:rsid w:val="0E8C4995"/>
    <w:rsid w:val="0EF27BFB"/>
    <w:rsid w:val="0FBC50EF"/>
    <w:rsid w:val="10333D01"/>
    <w:rsid w:val="115F3FD7"/>
    <w:rsid w:val="11A259DD"/>
    <w:rsid w:val="120027E5"/>
    <w:rsid w:val="120474A0"/>
    <w:rsid w:val="13102ABE"/>
    <w:rsid w:val="162063B0"/>
    <w:rsid w:val="167D280D"/>
    <w:rsid w:val="17047766"/>
    <w:rsid w:val="17935895"/>
    <w:rsid w:val="17F52C18"/>
    <w:rsid w:val="184530EF"/>
    <w:rsid w:val="19227A4B"/>
    <w:rsid w:val="1B3E182A"/>
    <w:rsid w:val="1B4B5195"/>
    <w:rsid w:val="1C174C6F"/>
    <w:rsid w:val="1C7C020D"/>
    <w:rsid w:val="1C8F78BA"/>
    <w:rsid w:val="1C9B0D84"/>
    <w:rsid w:val="1CDD3F3B"/>
    <w:rsid w:val="1D4D6869"/>
    <w:rsid w:val="1F836894"/>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4640FD2"/>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6F4D41"/>
    <w:rsid w:val="3D7507FB"/>
    <w:rsid w:val="3EB5127A"/>
    <w:rsid w:val="3F503E5E"/>
    <w:rsid w:val="3FC16214"/>
    <w:rsid w:val="41576FF8"/>
    <w:rsid w:val="41D9164E"/>
    <w:rsid w:val="41DD521D"/>
    <w:rsid w:val="423B7022"/>
    <w:rsid w:val="4389060E"/>
    <w:rsid w:val="43C8028A"/>
    <w:rsid w:val="43D51667"/>
    <w:rsid w:val="443B2C25"/>
    <w:rsid w:val="448421F1"/>
    <w:rsid w:val="45D37D9B"/>
    <w:rsid w:val="45D71EEF"/>
    <w:rsid w:val="48194FD5"/>
    <w:rsid w:val="484514CB"/>
    <w:rsid w:val="48516103"/>
    <w:rsid w:val="48C86EE1"/>
    <w:rsid w:val="499D198B"/>
    <w:rsid w:val="49FA6EF8"/>
    <w:rsid w:val="4A784961"/>
    <w:rsid w:val="4ACF3A3C"/>
    <w:rsid w:val="4B1700DF"/>
    <w:rsid w:val="4B3C4946"/>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1F316C0"/>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9D15C97"/>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2C28A-7F13-4836-ADE3-C6659AE6BC0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80</Pages>
  <Words>8765</Words>
  <Characters>49961</Characters>
  <Lines>416</Lines>
  <Paragraphs>117</Paragraphs>
  <TotalTime>0</TotalTime>
  <ScaleCrop>false</ScaleCrop>
  <LinksUpToDate>false</LinksUpToDate>
  <CharactersWithSpaces>58609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中正招标李森创</cp:lastModifiedBy>
  <cp:lastPrinted>2020-05-26T01:03:00Z</cp:lastPrinted>
  <dcterms:modified xsi:type="dcterms:W3CDTF">2023-12-04T11:56:37Z</dcterms:modified>
  <dc:title>招标编号：UHO2010-G0029</dc:title>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740013D34A714B1D9950EC17834BD61F_13</vt:lpwstr>
  </property>
</Properties>
</file>